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BB17A8" w14:textId="5898B978" w:rsidR="00E107CB" w:rsidRPr="006055AB" w:rsidRDefault="00E107CB" w:rsidP="00E107CB">
      <w:pPr>
        <w:pStyle w:val="a3"/>
        <w:tabs>
          <w:tab w:val="clear" w:pos="4320"/>
          <w:tab w:val="clear" w:pos="8640"/>
          <w:tab w:val="right" w:pos="9072"/>
        </w:tabs>
        <w:rPr>
          <w:b/>
          <w:bCs/>
          <w:sz w:val="22"/>
          <w:szCs w:val="22"/>
          <w:lang w:val="en-AU"/>
        </w:rPr>
      </w:pPr>
      <w:r w:rsidRPr="006055AB">
        <w:rPr>
          <w:b/>
          <w:bCs/>
          <w:sz w:val="22"/>
          <w:szCs w:val="22"/>
          <w:lang w:val="en-AU"/>
        </w:rPr>
        <w:t xml:space="preserve">3GPP TSG RAN WG1 </w:t>
      </w:r>
      <w:r w:rsidRPr="00DC78D9">
        <w:rPr>
          <w:b/>
          <w:bCs/>
          <w:sz w:val="22"/>
          <w:szCs w:val="22"/>
          <w:lang w:val="en-GB"/>
        </w:rPr>
        <w:t>Ad-Hoc Meeting 1901</w:t>
      </w:r>
      <w:r w:rsidRPr="006055AB">
        <w:rPr>
          <w:b/>
          <w:bCs/>
          <w:sz w:val="22"/>
          <w:szCs w:val="22"/>
          <w:lang w:val="en-AU"/>
        </w:rPr>
        <w:tab/>
      </w:r>
      <w:r w:rsidR="00AD4DDA" w:rsidRPr="00AD4DDA">
        <w:rPr>
          <w:rFonts w:hint="eastAsia"/>
          <w:b/>
          <w:bCs/>
          <w:sz w:val="22"/>
          <w:szCs w:val="22"/>
        </w:rPr>
        <w:t>R1-1900669</w:t>
      </w:r>
    </w:p>
    <w:p w14:paraId="548788C2" w14:textId="77777777" w:rsidR="00E107CB" w:rsidRPr="004D2AB8" w:rsidRDefault="00E107CB" w:rsidP="00E107CB">
      <w:pPr>
        <w:pStyle w:val="a3"/>
        <w:rPr>
          <w:b/>
          <w:bCs/>
          <w:sz w:val="22"/>
          <w:szCs w:val="22"/>
          <w:lang w:val="en-GB"/>
        </w:rPr>
      </w:pPr>
      <w:r w:rsidRPr="00DC78D9">
        <w:rPr>
          <w:b/>
          <w:bCs/>
          <w:sz w:val="22"/>
          <w:szCs w:val="22"/>
          <w:lang w:val="en-GB"/>
        </w:rPr>
        <w:t>Taipei, Taiwan, 21</w:t>
      </w:r>
      <w:r w:rsidRPr="00DC78D9">
        <w:rPr>
          <w:b/>
          <w:bCs/>
          <w:sz w:val="22"/>
          <w:szCs w:val="22"/>
          <w:vertAlign w:val="superscript"/>
          <w:lang w:val="en-GB"/>
        </w:rPr>
        <w:t>st</w:t>
      </w:r>
      <w:r w:rsidRPr="00DC78D9">
        <w:rPr>
          <w:b/>
          <w:bCs/>
          <w:sz w:val="22"/>
          <w:szCs w:val="22"/>
          <w:lang w:val="en-GB"/>
        </w:rPr>
        <w:t xml:space="preserve"> – 25</w:t>
      </w:r>
      <w:r w:rsidRPr="00DC78D9">
        <w:rPr>
          <w:b/>
          <w:bCs/>
          <w:sz w:val="22"/>
          <w:szCs w:val="22"/>
          <w:vertAlign w:val="superscript"/>
          <w:lang w:val="en-GB"/>
        </w:rPr>
        <w:t>th</w:t>
      </w:r>
      <w:r w:rsidRPr="00DC78D9">
        <w:rPr>
          <w:b/>
          <w:bCs/>
          <w:sz w:val="22"/>
          <w:szCs w:val="22"/>
          <w:lang w:val="en-GB"/>
        </w:rPr>
        <w:t xml:space="preserve"> January, 2019</w:t>
      </w:r>
    </w:p>
    <w:p w14:paraId="47832D48" w14:textId="62F21267" w:rsidR="00AA147A" w:rsidRPr="006055AB" w:rsidRDefault="00AA147A" w:rsidP="00751AB9">
      <w:pPr>
        <w:pStyle w:val="a3"/>
        <w:tabs>
          <w:tab w:val="clear" w:pos="4320"/>
        </w:tabs>
        <w:rPr>
          <w:b/>
          <w:bCs/>
          <w:sz w:val="22"/>
          <w:szCs w:val="22"/>
          <w:lang w:val="en-GB"/>
        </w:rPr>
      </w:pPr>
    </w:p>
    <w:p w14:paraId="0E6CF4D5" w14:textId="77777777" w:rsidR="00AA147A" w:rsidRPr="006055AB" w:rsidRDefault="00AA147A" w:rsidP="00AA147A">
      <w:pPr>
        <w:pStyle w:val="a3"/>
        <w:rPr>
          <w:b/>
          <w:bCs/>
          <w:sz w:val="22"/>
          <w:szCs w:val="22"/>
          <w:lang w:val="en-AU"/>
        </w:rPr>
      </w:pPr>
    </w:p>
    <w:p w14:paraId="04F94269" w14:textId="5CAB7505" w:rsidR="00AA147A" w:rsidRPr="006055AB" w:rsidRDefault="00AA147A" w:rsidP="00AA147A">
      <w:pPr>
        <w:tabs>
          <w:tab w:val="left" w:pos="1820"/>
        </w:tabs>
        <w:spacing w:after="60"/>
        <w:jc w:val="both"/>
        <w:rPr>
          <w:b/>
          <w:bCs/>
          <w:sz w:val="22"/>
          <w:szCs w:val="22"/>
          <w:lang w:val="en-AU"/>
        </w:rPr>
      </w:pPr>
      <w:r w:rsidRPr="006055AB">
        <w:rPr>
          <w:b/>
          <w:sz w:val="22"/>
          <w:szCs w:val="22"/>
          <w:lang w:val="en-AU"/>
        </w:rPr>
        <w:t>Agenda Item:</w:t>
      </w:r>
      <w:r w:rsidRPr="006055AB">
        <w:rPr>
          <w:b/>
          <w:bCs/>
          <w:sz w:val="22"/>
          <w:szCs w:val="22"/>
          <w:lang w:val="en-AU"/>
        </w:rPr>
        <w:tab/>
      </w:r>
      <w:r w:rsidR="00751AB9" w:rsidRPr="006055AB">
        <w:rPr>
          <w:b/>
          <w:bCs/>
          <w:sz w:val="22"/>
          <w:szCs w:val="22"/>
          <w:lang w:val="en-AU"/>
        </w:rPr>
        <w:t>7</w:t>
      </w:r>
      <w:r w:rsidR="00DC3080" w:rsidRPr="006055AB">
        <w:rPr>
          <w:b/>
          <w:bCs/>
          <w:sz w:val="22"/>
          <w:szCs w:val="22"/>
          <w:lang w:val="en-AU"/>
        </w:rPr>
        <w:t>.2.</w:t>
      </w:r>
      <w:r w:rsidR="00751AB9" w:rsidRPr="006055AB">
        <w:rPr>
          <w:b/>
          <w:bCs/>
          <w:sz w:val="22"/>
          <w:szCs w:val="22"/>
          <w:lang w:val="en-AU"/>
        </w:rPr>
        <w:t>4</w:t>
      </w:r>
      <w:r w:rsidR="00DC3080" w:rsidRPr="006055AB">
        <w:rPr>
          <w:b/>
          <w:bCs/>
          <w:sz w:val="22"/>
          <w:szCs w:val="22"/>
          <w:lang w:val="en-AU"/>
        </w:rPr>
        <w:t>.</w:t>
      </w:r>
      <w:r w:rsidR="002A6A6E" w:rsidRPr="006055AB">
        <w:rPr>
          <w:b/>
          <w:bCs/>
          <w:sz w:val="22"/>
          <w:szCs w:val="22"/>
          <w:lang w:val="en-AU"/>
        </w:rPr>
        <w:t>1.</w:t>
      </w:r>
      <w:r w:rsidR="00FE3D4D">
        <w:rPr>
          <w:b/>
          <w:bCs/>
          <w:sz w:val="22"/>
          <w:szCs w:val="22"/>
          <w:lang w:val="en-AU"/>
        </w:rPr>
        <w:t>2</w:t>
      </w:r>
    </w:p>
    <w:p w14:paraId="69755E01" w14:textId="77777777" w:rsidR="00AA147A" w:rsidRPr="006055AB" w:rsidRDefault="00AA147A" w:rsidP="00AA147A">
      <w:pPr>
        <w:tabs>
          <w:tab w:val="left" w:pos="1820"/>
        </w:tabs>
        <w:spacing w:after="60"/>
        <w:jc w:val="both"/>
        <w:rPr>
          <w:b/>
          <w:bCs/>
          <w:sz w:val="22"/>
          <w:szCs w:val="22"/>
          <w:lang w:val="en-AU"/>
        </w:rPr>
      </w:pPr>
      <w:r w:rsidRPr="006055AB">
        <w:rPr>
          <w:b/>
          <w:sz w:val="22"/>
          <w:szCs w:val="22"/>
          <w:lang w:val="en-AU"/>
        </w:rPr>
        <w:t>Source:</w:t>
      </w:r>
      <w:r w:rsidRPr="006055AB">
        <w:rPr>
          <w:b/>
          <w:bCs/>
          <w:sz w:val="22"/>
          <w:szCs w:val="22"/>
          <w:lang w:val="en-AU"/>
        </w:rPr>
        <w:t xml:space="preserve"> </w:t>
      </w:r>
      <w:r w:rsidRPr="006055AB">
        <w:rPr>
          <w:b/>
          <w:bCs/>
          <w:sz w:val="22"/>
          <w:szCs w:val="22"/>
          <w:lang w:val="en-AU"/>
        </w:rPr>
        <w:tab/>
        <w:t>NEC</w:t>
      </w:r>
    </w:p>
    <w:p w14:paraId="56A43E7A" w14:textId="7F2D0D3A" w:rsidR="00AA4A5D" w:rsidRPr="006055AB" w:rsidRDefault="00AA4A5D" w:rsidP="00AA4A5D">
      <w:pPr>
        <w:tabs>
          <w:tab w:val="left" w:pos="1820"/>
        </w:tabs>
        <w:spacing w:after="60"/>
        <w:ind w:left="1820" w:hanging="1820"/>
        <w:rPr>
          <w:b/>
          <w:sz w:val="22"/>
          <w:szCs w:val="22"/>
          <w:lang w:val="en-AU"/>
        </w:rPr>
      </w:pPr>
      <w:r w:rsidRPr="006055AB">
        <w:rPr>
          <w:b/>
          <w:sz w:val="22"/>
          <w:szCs w:val="22"/>
          <w:lang w:val="en-AU"/>
        </w:rPr>
        <w:t>Title:</w:t>
      </w:r>
      <w:r w:rsidRPr="006055AB">
        <w:rPr>
          <w:b/>
          <w:bCs/>
          <w:sz w:val="22"/>
          <w:szCs w:val="22"/>
          <w:lang w:val="en-AU"/>
        </w:rPr>
        <w:tab/>
      </w:r>
      <w:r w:rsidR="00ED7CD8">
        <w:rPr>
          <w:b/>
          <w:bCs/>
          <w:sz w:val="22"/>
          <w:szCs w:val="22"/>
          <w:lang w:val="en-AU"/>
        </w:rPr>
        <w:t>Physical layer procedures for NR V2X</w:t>
      </w:r>
      <w:r w:rsidR="00751AB9" w:rsidRPr="006055AB">
        <w:rPr>
          <w:b/>
          <w:bCs/>
          <w:sz w:val="22"/>
          <w:szCs w:val="22"/>
          <w:lang w:val="en-AU"/>
        </w:rPr>
        <w:t xml:space="preserve"> </w:t>
      </w:r>
    </w:p>
    <w:p w14:paraId="75FDC0A8" w14:textId="02BF5879" w:rsidR="00AA4A5D" w:rsidRPr="006055AB" w:rsidRDefault="00AA4A5D" w:rsidP="00AA4A5D">
      <w:pPr>
        <w:pBdr>
          <w:bottom w:val="single" w:sz="6" w:space="7" w:color="auto"/>
        </w:pBdr>
        <w:tabs>
          <w:tab w:val="left" w:pos="1820"/>
        </w:tabs>
        <w:jc w:val="both"/>
        <w:rPr>
          <w:rFonts w:eastAsia="MS Mincho"/>
          <w:b/>
          <w:bCs/>
          <w:sz w:val="22"/>
          <w:szCs w:val="22"/>
          <w:lang w:val="en-AU" w:eastAsia="ja-JP"/>
        </w:rPr>
      </w:pPr>
      <w:r w:rsidRPr="006055AB">
        <w:rPr>
          <w:b/>
          <w:sz w:val="22"/>
          <w:szCs w:val="22"/>
          <w:lang w:val="en-AU"/>
        </w:rPr>
        <w:t>Document for:</w:t>
      </w:r>
      <w:r w:rsidRPr="006055AB">
        <w:rPr>
          <w:b/>
          <w:bCs/>
          <w:sz w:val="22"/>
          <w:szCs w:val="22"/>
          <w:lang w:val="en-AU"/>
        </w:rPr>
        <w:tab/>
      </w:r>
      <w:r w:rsidR="00907F18" w:rsidRPr="006055AB">
        <w:rPr>
          <w:b/>
          <w:bCs/>
          <w:sz w:val="22"/>
          <w:szCs w:val="22"/>
          <w:lang w:val="en-AU"/>
        </w:rPr>
        <w:t>Discussion</w:t>
      </w:r>
      <w:r w:rsidR="00D15440" w:rsidRPr="006055AB">
        <w:rPr>
          <w:b/>
          <w:bCs/>
          <w:sz w:val="22"/>
          <w:szCs w:val="22"/>
          <w:lang w:val="en-AU"/>
        </w:rPr>
        <w:t>/Decisio</w:t>
      </w:r>
      <w:r w:rsidR="00E3211F" w:rsidRPr="006055AB">
        <w:rPr>
          <w:b/>
          <w:bCs/>
          <w:sz w:val="22"/>
          <w:szCs w:val="22"/>
          <w:lang w:val="en-AU"/>
        </w:rPr>
        <w:t>n</w:t>
      </w:r>
    </w:p>
    <w:p w14:paraId="3E09BF39" w14:textId="77777777" w:rsidR="00012620" w:rsidRPr="006055AB" w:rsidRDefault="00012620" w:rsidP="00012620">
      <w:pPr>
        <w:pStyle w:val="1"/>
        <w:spacing w:after="120"/>
        <w:jc w:val="both"/>
        <w:rPr>
          <w:rFonts w:ascii="Times New Roman" w:hAnsi="Times New Roman" w:cs="Times New Roman"/>
          <w:bCs w:val="0"/>
          <w:sz w:val="22"/>
          <w:szCs w:val="22"/>
          <w:lang w:val="en-AU"/>
        </w:rPr>
      </w:pPr>
      <w:r w:rsidRPr="006055AB">
        <w:rPr>
          <w:rFonts w:ascii="Times New Roman" w:hAnsi="Times New Roman" w:cs="Times New Roman"/>
          <w:bCs w:val="0"/>
          <w:sz w:val="22"/>
          <w:szCs w:val="22"/>
          <w:lang w:val="en-AU"/>
        </w:rPr>
        <w:t>Introduction</w:t>
      </w:r>
    </w:p>
    <w:p w14:paraId="21820F0F" w14:textId="6D2C6AF8" w:rsidR="005418B2" w:rsidRPr="006055AB" w:rsidRDefault="00384B0A" w:rsidP="005418B2">
      <w:pPr>
        <w:jc w:val="both"/>
        <w:rPr>
          <w:sz w:val="22"/>
          <w:szCs w:val="22"/>
        </w:rPr>
      </w:pPr>
      <w:r w:rsidRPr="006055AB">
        <w:rPr>
          <w:sz w:val="22"/>
          <w:szCs w:val="22"/>
        </w:rPr>
        <w:t xml:space="preserve">NR-V2X SI was approved in the RAN#80 meeting </w:t>
      </w:r>
      <w:r w:rsidRPr="006055AB">
        <w:rPr>
          <w:sz w:val="22"/>
          <w:szCs w:val="22"/>
        </w:rPr>
        <w:fldChar w:fldCharType="begin"/>
      </w:r>
      <w:r w:rsidRPr="006055AB">
        <w:rPr>
          <w:sz w:val="22"/>
          <w:szCs w:val="22"/>
        </w:rPr>
        <w:instrText xml:space="preserve"> REF _Ref521069630 \r \h </w:instrText>
      </w:r>
      <w:r w:rsidR="006055AB" w:rsidRPr="006055AB">
        <w:rPr>
          <w:sz w:val="22"/>
          <w:szCs w:val="22"/>
        </w:rPr>
        <w:instrText xml:space="preserve"> \* MERGEFORMAT </w:instrText>
      </w:r>
      <w:r w:rsidRPr="006055AB">
        <w:rPr>
          <w:sz w:val="22"/>
          <w:szCs w:val="22"/>
        </w:rPr>
      </w:r>
      <w:r w:rsidRPr="006055AB">
        <w:rPr>
          <w:sz w:val="22"/>
          <w:szCs w:val="22"/>
        </w:rPr>
        <w:fldChar w:fldCharType="separate"/>
      </w:r>
      <w:r w:rsidRPr="006055AB">
        <w:rPr>
          <w:sz w:val="22"/>
          <w:szCs w:val="22"/>
        </w:rPr>
        <w:t>[1]</w:t>
      </w:r>
      <w:r w:rsidRPr="006055AB">
        <w:rPr>
          <w:sz w:val="22"/>
          <w:szCs w:val="22"/>
        </w:rPr>
        <w:fldChar w:fldCharType="end"/>
      </w:r>
      <w:r w:rsidRPr="006055AB">
        <w:rPr>
          <w:sz w:val="22"/>
          <w:szCs w:val="22"/>
        </w:rPr>
        <w:t>, i</w:t>
      </w:r>
      <w:r w:rsidR="005418B2" w:rsidRPr="006055AB">
        <w:rPr>
          <w:sz w:val="22"/>
          <w:szCs w:val="22"/>
        </w:rPr>
        <w:t xml:space="preserve">n the last RAN1 meeting, </w:t>
      </w:r>
      <w:r w:rsidR="00633EF5">
        <w:rPr>
          <w:sz w:val="22"/>
          <w:szCs w:val="22"/>
        </w:rPr>
        <w:t>issues related to physical layer procedures were</w:t>
      </w:r>
      <w:r w:rsidR="005418B2" w:rsidRPr="006055AB">
        <w:rPr>
          <w:sz w:val="22"/>
          <w:szCs w:val="22"/>
        </w:rPr>
        <w:t xml:space="preserve"> discussed with following agreement</w:t>
      </w:r>
      <w:r w:rsidR="00633EF5">
        <w:rPr>
          <w:sz w:val="22"/>
          <w:szCs w:val="22"/>
        </w:rPr>
        <w:t>s</w:t>
      </w:r>
      <w:r w:rsidRPr="006055AB">
        <w:rPr>
          <w:sz w:val="22"/>
          <w:szCs w:val="22"/>
        </w:rPr>
        <w:t xml:space="preserve"> </w:t>
      </w:r>
      <w:r w:rsidRPr="006055AB">
        <w:rPr>
          <w:sz w:val="22"/>
          <w:szCs w:val="22"/>
        </w:rPr>
        <w:fldChar w:fldCharType="begin"/>
      </w:r>
      <w:r w:rsidRPr="006055AB">
        <w:rPr>
          <w:sz w:val="22"/>
          <w:szCs w:val="22"/>
        </w:rPr>
        <w:instrText xml:space="preserve"> REF _Ref525032988 \r \h </w:instrText>
      </w:r>
      <w:r w:rsidR="006055AB" w:rsidRPr="006055AB">
        <w:rPr>
          <w:sz w:val="22"/>
          <w:szCs w:val="22"/>
        </w:rPr>
        <w:instrText xml:space="preserve"> \* MERGEFORMAT </w:instrText>
      </w:r>
      <w:r w:rsidRPr="006055AB">
        <w:rPr>
          <w:sz w:val="22"/>
          <w:szCs w:val="22"/>
        </w:rPr>
      </w:r>
      <w:r w:rsidRPr="006055AB">
        <w:rPr>
          <w:sz w:val="22"/>
          <w:szCs w:val="22"/>
        </w:rPr>
        <w:fldChar w:fldCharType="separate"/>
      </w:r>
      <w:r w:rsidRPr="006055AB">
        <w:rPr>
          <w:sz w:val="22"/>
          <w:szCs w:val="22"/>
        </w:rPr>
        <w:t>[2]</w:t>
      </w:r>
      <w:r w:rsidRPr="006055AB">
        <w:rPr>
          <w:sz w:val="22"/>
          <w:szCs w:val="22"/>
        </w:rPr>
        <w:fldChar w:fldCharType="end"/>
      </w:r>
      <w:r w:rsidR="005418B2" w:rsidRPr="006055AB">
        <w:rPr>
          <w:sz w:val="22"/>
          <w:szCs w:val="22"/>
        </w:rPr>
        <w:t>:</w:t>
      </w:r>
    </w:p>
    <w:p w14:paraId="13341D38" w14:textId="77777777" w:rsidR="005418B2" w:rsidRPr="006055AB" w:rsidRDefault="005418B2" w:rsidP="005418B2">
      <w:pPr>
        <w:rPr>
          <w:sz w:val="22"/>
          <w:szCs w:val="22"/>
          <w:highlight w:val="green"/>
          <w:lang w:eastAsia="x-none"/>
        </w:rPr>
      </w:pPr>
    </w:p>
    <w:p w14:paraId="3D7D4D2C" w14:textId="77777777" w:rsidR="003B0DFA" w:rsidRPr="003B0DFA" w:rsidRDefault="003B0DFA" w:rsidP="003B0DFA">
      <w:pPr>
        <w:rPr>
          <w:rFonts w:eastAsia="Batang"/>
          <w:sz w:val="22"/>
          <w:szCs w:val="22"/>
          <w:lang w:val="en-GB" w:eastAsia="en-US"/>
        </w:rPr>
      </w:pPr>
      <w:r w:rsidRPr="003B0DFA">
        <w:rPr>
          <w:rFonts w:eastAsia="Batang"/>
          <w:sz w:val="22"/>
          <w:szCs w:val="22"/>
          <w:highlight w:val="green"/>
          <w:lang w:val="en-GB" w:eastAsia="en-US"/>
        </w:rPr>
        <w:t>Agreements</w:t>
      </w:r>
      <w:r w:rsidRPr="003B0DFA">
        <w:rPr>
          <w:rFonts w:eastAsia="Batang"/>
          <w:sz w:val="22"/>
          <w:szCs w:val="22"/>
          <w:lang w:val="en-GB" w:eastAsia="en-US"/>
        </w:rPr>
        <w:t>:</w:t>
      </w:r>
    </w:p>
    <w:p w14:paraId="0B0660B6" w14:textId="77777777" w:rsidR="003B0DFA" w:rsidRPr="003B0DFA" w:rsidRDefault="003B0DFA" w:rsidP="003B0DFA">
      <w:pPr>
        <w:numPr>
          <w:ilvl w:val="0"/>
          <w:numId w:val="13"/>
        </w:numPr>
        <w:rPr>
          <w:rFonts w:eastAsia="Batang"/>
          <w:b/>
          <w:sz w:val="22"/>
          <w:szCs w:val="22"/>
          <w:lang w:eastAsia="ko-KR"/>
        </w:rPr>
      </w:pPr>
      <w:r w:rsidRPr="003B0DFA">
        <w:rPr>
          <w:rFonts w:eastAsia="Batang"/>
          <w:sz w:val="22"/>
          <w:szCs w:val="22"/>
          <w:lang w:val="en-GB" w:eastAsia="en-US"/>
        </w:rPr>
        <w:t>Physical sidelink feedback channel (PSFCH) is defined and it is supported to convey SFCI for unicast and groupcast via PSFCH</w:t>
      </w:r>
      <w:r w:rsidRPr="003B0DFA">
        <w:rPr>
          <w:rFonts w:eastAsia="Batang"/>
          <w:b/>
          <w:sz w:val="22"/>
          <w:szCs w:val="22"/>
          <w:lang w:eastAsia="ko-KR"/>
        </w:rPr>
        <w:t>.</w:t>
      </w:r>
    </w:p>
    <w:p w14:paraId="0EB8E3C9" w14:textId="77777777" w:rsidR="003B0DFA" w:rsidRPr="003B0DFA" w:rsidRDefault="003B0DFA" w:rsidP="003B0DFA">
      <w:pPr>
        <w:rPr>
          <w:rFonts w:eastAsia="Batang"/>
          <w:b/>
          <w:sz w:val="22"/>
          <w:szCs w:val="22"/>
          <w:lang w:eastAsia="ko-KR"/>
        </w:rPr>
      </w:pPr>
    </w:p>
    <w:p w14:paraId="436CDE59" w14:textId="77777777" w:rsidR="003B0DFA" w:rsidRPr="003B0DFA" w:rsidRDefault="003B0DFA" w:rsidP="003B0DFA">
      <w:pPr>
        <w:rPr>
          <w:rFonts w:eastAsia="Batang"/>
          <w:sz w:val="22"/>
          <w:szCs w:val="22"/>
          <w:highlight w:val="green"/>
          <w:lang w:eastAsia="x-none"/>
        </w:rPr>
      </w:pPr>
      <w:r w:rsidRPr="003B0DFA">
        <w:rPr>
          <w:rFonts w:eastAsia="Batang"/>
          <w:sz w:val="22"/>
          <w:szCs w:val="22"/>
          <w:highlight w:val="green"/>
          <w:lang w:eastAsia="x-none"/>
        </w:rPr>
        <w:t>Agreements:</w:t>
      </w:r>
    </w:p>
    <w:p w14:paraId="429AD725" w14:textId="77777777" w:rsidR="003B0DFA" w:rsidRPr="003B0DFA" w:rsidRDefault="003B0DFA" w:rsidP="003B0DFA">
      <w:pPr>
        <w:numPr>
          <w:ilvl w:val="0"/>
          <w:numId w:val="13"/>
        </w:numPr>
        <w:rPr>
          <w:rFonts w:eastAsia="Batang"/>
          <w:sz w:val="22"/>
          <w:szCs w:val="22"/>
          <w:lang w:val="en-GB" w:eastAsia="en-US"/>
        </w:rPr>
      </w:pPr>
      <w:r w:rsidRPr="003B0DFA">
        <w:rPr>
          <w:rFonts w:eastAsia="Batang"/>
          <w:sz w:val="22"/>
          <w:szCs w:val="22"/>
          <w:lang w:val="en-GB" w:eastAsia="en-US"/>
        </w:rPr>
        <w:t>When SL HARQ feedback is enabled for unicast, the following operation is supported for the non-CBG case:</w:t>
      </w:r>
    </w:p>
    <w:p w14:paraId="493C85FA" w14:textId="77777777" w:rsidR="003B0DFA" w:rsidRPr="003B0DFA" w:rsidRDefault="003B0DFA" w:rsidP="003B0DFA">
      <w:pPr>
        <w:numPr>
          <w:ilvl w:val="1"/>
          <w:numId w:val="13"/>
        </w:numPr>
        <w:rPr>
          <w:rFonts w:eastAsia="Batang"/>
          <w:sz w:val="22"/>
          <w:szCs w:val="22"/>
          <w:lang w:val="en-GB" w:eastAsia="en-US"/>
        </w:rPr>
      </w:pPr>
      <w:r w:rsidRPr="003B0DFA">
        <w:rPr>
          <w:rFonts w:eastAsia="Batang"/>
          <w:sz w:val="22"/>
          <w:szCs w:val="22"/>
          <w:lang w:val="en-GB" w:eastAsia="en-US"/>
        </w:rPr>
        <w:t>Receiver UE generates HARQ-ACK if it successfully decodes the corresponding TB. It generates HARQ-NACK if it does not successfully decode the corresponding TB after decoding the associated PSCCH which targets the receiver UE.</w:t>
      </w:r>
    </w:p>
    <w:p w14:paraId="31EC9200" w14:textId="77777777" w:rsidR="003B0DFA" w:rsidRPr="003B0DFA" w:rsidRDefault="003B0DFA" w:rsidP="003B0DFA">
      <w:pPr>
        <w:numPr>
          <w:ilvl w:val="1"/>
          <w:numId w:val="13"/>
        </w:numPr>
        <w:rPr>
          <w:rFonts w:eastAsia="Batang"/>
          <w:sz w:val="22"/>
          <w:szCs w:val="22"/>
          <w:lang w:val="en-GB" w:eastAsia="en-US"/>
        </w:rPr>
      </w:pPr>
      <w:r w:rsidRPr="003B0DFA">
        <w:rPr>
          <w:rFonts w:eastAsia="Batang"/>
          <w:sz w:val="22"/>
          <w:szCs w:val="22"/>
          <w:lang w:val="en-GB" w:eastAsia="en-US"/>
        </w:rPr>
        <w:t>FFS whether to support SL HARQ feedback per CBG</w:t>
      </w:r>
    </w:p>
    <w:p w14:paraId="5BA9DD18" w14:textId="77777777" w:rsidR="003B0DFA" w:rsidRPr="003B0DFA" w:rsidRDefault="003B0DFA" w:rsidP="003B0DFA">
      <w:pPr>
        <w:rPr>
          <w:rFonts w:eastAsia="Batang"/>
          <w:sz w:val="22"/>
          <w:szCs w:val="22"/>
          <w:lang w:eastAsia="x-none"/>
        </w:rPr>
      </w:pPr>
      <w:r w:rsidRPr="003B0DFA">
        <w:rPr>
          <w:rFonts w:eastAsia="Batang"/>
          <w:sz w:val="22"/>
          <w:szCs w:val="22"/>
          <w:highlight w:val="green"/>
          <w:lang w:eastAsia="x-none"/>
        </w:rPr>
        <w:t>Agreements</w:t>
      </w:r>
      <w:r w:rsidRPr="003B0DFA">
        <w:rPr>
          <w:rFonts w:eastAsia="Batang"/>
          <w:sz w:val="22"/>
          <w:szCs w:val="22"/>
          <w:lang w:eastAsia="x-none"/>
        </w:rPr>
        <w:t>:</w:t>
      </w:r>
    </w:p>
    <w:p w14:paraId="1E93CC6B" w14:textId="77777777" w:rsidR="003B0DFA" w:rsidRPr="003B0DFA" w:rsidRDefault="003B0DFA" w:rsidP="003B0DFA">
      <w:pPr>
        <w:widowControl w:val="0"/>
        <w:numPr>
          <w:ilvl w:val="0"/>
          <w:numId w:val="14"/>
        </w:numPr>
        <w:autoSpaceDE w:val="0"/>
        <w:autoSpaceDN w:val="0"/>
        <w:adjustRightInd w:val="0"/>
        <w:snapToGrid w:val="0"/>
        <w:spacing w:before="100" w:beforeAutospacing="1" w:after="60" w:line="264" w:lineRule="auto"/>
        <w:jc w:val="both"/>
        <w:rPr>
          <w:rFonts w:eastAsia="Batang"/>
          <w:kern w:val="2"/>
          <w:sz w:val="22"/>
          <w:szCs w:val="22"/>
          <w:lang w:eastAsia="ko-KR"/>
        </w:rPr>
      </w:pPr>
      <w:r w:rsidRPr="003B0DFA">
        <w:rPr>
          <w:rFonts w:eastAsia="Batang"/>
          <w:kern w:val="2"/>
          <w:sz w:val="22"/>
          <w:szCs w:val="22"/>
          <w:lang w:eastAsia="ko-KR"/>
        </w:rPr>
        <w:t>When SL HARQ feedback is enabled for groupcast, the following operations are further studied for the non-CBG case:</w:t>
      </w:r>
    </w:p>
    <w:p w14:paraId="2715F186" w14:textId="77777777" w:rsidR="003B0DFA" w:rsidRPr="003B0DFA" w:rsidRDefault="003B0DFA" w:rsidP="003B0DFA">
      <w:pPr>
        <w:widowControl w:val="0"/>
        <w:numPr>
          <w:ilvl w:val="1"/>
          <w:numId w:val="14"/>
        </w:numPr>
        <w:autoSpaceDE w:val="0"/>
        <w:autoSpaceDN w:val="0"/>
        <w:adjustRightInd w:val="0"/>
        <w:snapToGrid w:val="0"/>
        <w:spacing w:before="100" w:beforeAutospacing="1" w:after="60" w:line="264" w:lineRule="auto"/>
        <w:jc w:val="both"/>
        <w:rPr>
          <w:rFonts w:eastAsia="Batang"/>
          <w:kern w:val="2"/>
          <w:sz w:val="22"/>
          <w:szCs w:val="22"/>
          <w:lang w:eastAsia="ko-KR"/>
        </w:rPr>
      </w:pPr>
      <w:r w:rsidRPr="003B0DFA">
        <w:rPr>
          <w:rFonts w:eastAsia="Batang"/>
          <w:kern w:val="2"/>
          <w:sz w:val="22"/>
          <w:szCs w:val="22"/>
          <w:lang w:eastAsia="ko-KR"/>
        </w:rPr>
        <w:t>Option 1: Receiver UE transmits HARQ-NACK on PSFCH if it fails to decode the corresponding TB after decoding the associated PSCCH. It transmits no signal on PSFCH otherwise. Details are FFS including the following:</w:t>
      </w:r>
    </w:p>
    <w:p w14:paraId="0FDF748E" w14:textId="77777777" w:rsidR="003B0DFA" w:rsidRPr="003B0DFA" w:rsidRDefault="003B0DFA" w:rsidP="003B0DFA">
      <w:pPr>
        <w:widowControl w:val="0"/>
        <w:numPr>
          <w:ilvl w:val="2"/>
          <w:numId w:val="14"/>
        </w:numPr>
        <w:autoSpaceDE w:val="0"/>
        <w:autoSpaceDN w:val="0"/>
        <w:adjustRightInd w:val="0"/>
        <w:snapToGrid w:val="0"/>
        <w:spacing w:before="100" w:beforeAutospacing="1" w:after="60" w:line="264" w:lineRule="auto"/>
        <w:jc w:val="both"/>
        <w:rPr>
          <w:rFonts w:eastAsia="Batang"/>
          <w:kern w:val="2"/>
          <w:sz w:val="22"/>
          <w:szCs w:val="22"/>
          <w:lang w:eastAsia="ko-KR"/>
        </w:rPr>
      </w:pPr>
      <w:r w:rsidRPr="003B0DFA">
        <w:rPr>
          <w:rFonts w:eastAsia="Batang"/>
          <w:kern w:val="2"/>
          <w:sz w:val="22"/>
          <w:szCs w:val="22"/>
          <w:lang w:eastAsia="ko-KR"/>
        </w:rPr>
        <w:t>Whether to introduce an additional criterion in deciding HARQ-NACK transmission</w:t>
      </w:r>
    </w:p>
    <w:p w14:paraId="0A871B05" w14:textId="77777777" w:rsidR="003B0DFA" w:rsidRPr="003B0DFA" w:rsidRDefault="003B0DFA" w:rsidP="003B0DFA">
      <w:pPr>
        <w:widowControl w:val="0"/>
        <w:numPr>
          <w:ilvl w:val="2"/>
          <w:numId w:val="14"/>
        </w:numPr>
        <w:autoSpaceDE w:val="0"/>
        <w:autoSpaceDN w:val="0"/>
        <w:adjustRightInd w:val="0"/>
        <w:snapToGrid w:val="0"/>
        <w:spacing w:before="100" w:beforeAutospacing="1" w:after="60" w:line="264" w:lineRule="auto"/>
        <w:jc w:val="both"/>
        <w:rPr>
          <w:rFonts w:eastAsia="Batang"/>
          <w:kern w:val="2"/>
          <w:sz w:val="22"/>
          <w:szCs w:val="22"/>
          <w:lang w:eastAsia="ko-KR"/>
        </w:rPr>
      </w:pPr>
      <w:r w:rsidRPr="003B0DFA">
        <w:rPr>
          <w:rFonts w:eastAsia="Batang"/>
          <w:kern w:val="2"/>
          <w:sz w:val="22"/>
          <w:szCs w:val="22"/>
          <w:lang w:eastAsia="ko-KR"/>
        </w:rPr>
        <w:t>Whether/how to handle DTX issue (i.e., transmitter UE cannot recognize the case that a receiver UE misses PSCCH scheduling PSSCH)</w:t>
      </w:r>
    </w:p>
    <w:p w14:paraId="7C244177" w14:textId="77777777" w:rsidR="003B0DFA" w:rsidRPr="003B0DFA" w:rsidRDefault="003B0DFA" w:rsidP="003B0DFA">
      <w:pPr>
        <w:widowControl w:val="0"/>
        <w:numPr>
          <w:ilvl w:val="2"/>
          <w:numId w:val="14"/>
        </w:numPr>
        <w:autoSpaceDE w:val="0"/>
        <w:autoSpaceDN w:val="0"/>
        <w:adjustRightInd w:val="0"/>
        <w:snapToGrid w:val="0"/>
        <w:spacing w:before="100" w:beforeAutospacing="1" w:after="60" w:line="264" w:lineRule="auto"/>
        <w:jc w:val="both"/>
        <w:rPr>
          <w:rFonts w:eastAsia="Batang"/>
          <w:kern w:val="2"/>
          <w:sz w:val="22"/>
          <w:szCs w:val="22"/>
          <w:lang w:eastAsia="ko-KR"/>
        </w:rPr>
      </w:pPr>
      <w:r w:rsidRPr="003B0DFA">
        <w:rPr>
          <w:rFonts w:eastAsia="Batang"/>
          <w:kern w:val="2"/>
          <w:sz w:val="22"/>
          <w:szCs w:val="22"/>
          <w:lang w:eastAsia="ko-KR"/>
        </w:rPr>
        <w:t>Issues when multiple receiver UEs transmit HARQ-NACK on the same resource</w:t>
      </w:r>
    </w:p>
    <w:p w14:paraId="15F06A58" w14:textId="77777777" w:rsidR="003B0DFA" w:rsidRPr="003B0DFA" w:rsidRDefault="003B0DFA" w:rsidP="003B0DFA">
      <w:pPr>
        <w:widowControl w:val="0"/>
        <w:numPr>
          <w:ilvl w:val="3"/>
          <w:numId w:val="14"/>
        </w:numPr>
        <w:autoSpaceDE w:val="0"/>
        <w:autoSpaceDN w:val="0"/>
        <w:adjustRightInd w:val="0"/>
        <w:snapToGrid w:val="0"/>
        <w:spacing w:before="100" w:beforeAutospacing="1" w:after="60" w:line="264" w:lineRule="auto"/>
        <w:jc w:val="both"/>
        <w:rPr>
          <w:rFonts w:eastAsia="Batang"/>
          <w:kern w:val="2"/>
          <w:sz w:val="22"/>
          <w:szCs w:val="22"/>
          <w:lang w:eastAsia="ko-KR"/>
        </w:rPr>
      </w:pPr>
      <w:r w:rsidRPr="003B0DFA">
        <w:rPr>
          <w:rFonts w:eastAsia="Batang"/>
          <w:kern w:val="2"/>
          <w:sz w:val="22"/>
          <w:szCs w:val="22"/>
          <w:lang w:eastAsia="ko-KR"/>
        </w:rPr>
        <w:t>How to determine the presence of HARQ-NACK transmissions from receiver UEs</w:t>
      </w:r>
    </w:p>
    <w:p w14:paraId="432C6C0A" w14:textId="77777777" w:rsidR="003B0DFA" w:rsidRPr="003B0DFA" w:rsidRDefault="003B0DFA" w:rsidP="003B0DFA">
      <w:pPr>
        <w:widowControl w:val="0"/>
        <w:numPr>
          <w:ilvl w:val="3"/>
          <w:numId w:val="14"/>
        </w:numPr>
        <w:autoSpaceDE w:val="0"/>
        <w:autoSpaceDN w:val="0"/>
        <w:adjustRightInd w:val="0"/>
        <w:snapToGrid w:val="0"/>
        <w:spacing w:before="100" w:beforeAutospacing="1" w:after="60" w:line="264" w:lineRule="auto"/>
        <w:jc w:val="both"/>
        <w:rPr>
          <w:rFonts w:eastAsia="Batang"/>
          <w:kern w:val="2"/>
          <w:sz w:val="22"/>
          <w:szCs w:val="22"/>
          <w:lang w:eastAsia="ko-KR"/>
        </w:rPr>
      </w:pPr>
      <w:r w:rsidRPr="003B0DFA">
        <w:rPr>
          <w:rFonts w:eastAsia="Batang"/>
          <w:kern w:val="2"/>
          <w:sz w:val="22"/>
          <w:szCs w:val="22"/>
          <w:lang w:eastAsia="ko-KR"/>
        </w:rPr>
        <w:t>Whether/how to handle destructive channel sum effect of HARQ-NACK transmissions from multiple receiver UEs if the same signal is used</w:t>
      </w:r>
    </w:p>
    <w:p w14:paraId="1A398CB5" w14:textId="77777777" w:rsidR="003B0DFA" w:rsidRPr="003B0DFA" w:rsidRDefault="003B0DFA" w:rsidP="003B0DFA">
      <w:pPr>
        <w:widowControl w:val="0"/>
        <w:numPr>
          <w:ilvl w:val="1"/>
          <w:numId w:val="14"/>
        </w:numPr>
        <w:autoSpaceDE w:val="0"/>
        <w:autoSpaceDN w:val="0"/>
        <w:adjustRightInd w:val="0"/>
        <w:snapToGrid w:val="0"/>
        <w:spacing w:before="100" w:beforeAutospacing="1" w:after="60" w:line="264" w:lineRule="auto"/>
        <w:jc w:val="both"/>
        <w:rPr>
          <w:rFonts w:eastAsia="Batang"/>
          <w:kern w:val="2"/>
          <w:sz w:val="22"/>
          <w:szCs w:val="22"/>
          <w:lang w:eastAsia="ko-KR"/>
        </w:rPr>
      </w:pPr>
      <w:r w:rsidRPr="003B0DFA">
        <w:rPr>
          <w:rFonts w:eastAsia="Batang"/>
          <w:kern w:val="2"/>
          <w:sz w:val="22"/>
          <w:szCs w:val="22"/>
          <w:lang w:eastAsia="ko-KR"/>
        </w:rPr>
        <w:t>Option 2: Receiver UE transmits HARQ-ACK on PSFCH if it successfully decodes the corresponding TB. It transmits HARQ-NACK on PSFCH if it does not successfully decode the corresponding TB after decoding the associated PSCCH which targets the receiver UE. Details are FFS including the following:</w:t>
      </w:r>
    </w:p>
    <w:p w14:paraId="2CD7C3C3" w14:textId="77777777" w:rsidR="003B0DFA" w:rsidRPr="003B0DFA" w:rsidRDefault="003B0DFA" w:rsidP="003B0DFA">
      <w:pPr>
        <w:widowControl w:val="0"/>
        <w:numPr>
          <w:ilvl w:val="2"/>
          <w:numId w:val="14"/>
        </w:numPr>
        <w:autoSpaceDE w:val="0"/>
        <w:autoSpaceDN w:val="0"/>
        <w:adjustRightInd w:val="0"/>
        <w:snapToGrid w:val="0"/>
        <w:spacing w:before="100" w:beforeAutospacing="1" w:after="60" w:line="264" w:lineRule="auto"/>
        <w:jc w:val="both"/>
        <w:rPr>
          <w:rFonts w:eastAsia="Batang"/>
          <w:kern w:val="2"/>
          <w:sz w:val="22"/>
          <w:szCs w:val="22"/>
          <w:lang w:eastAsia="ko-KR"/>
        </w:rPr>
      </w:pPr>
      <w:r w:rsidRPr="003B0DFA">
        <w:rPr>
          <w:rFonts w:eastAsia="Batang"/>
          <w:kern w:val="2"/>
          <w:sz w:val="22"/>
          <w:szCs w:val="22"/>
          <w:lang w:eastAsia="ko-KR"/>
        </w:rPr>
        <w:t>Whether to introduce an additional criterion in deciding HARQ-ACK/NACK transmission</w:t>
      </w:r>
    </w:p>
    <w:p w14:paraId="6C7DD8AB" w14:textId="77777777" w:rsidR="003B0DFA" w:rsidRPr="003B0DFA" w:rsidRDefault="003B0DFA" w:rsidP="003B0DFA">
      <w:pPr>
        <w:widowControl w:val="0"/>
        <w:numPr>
          <w:ilvl w:val="2"/>
          <w:numId w:val="14"/>
        </w:numPr>
        <w:autoSpaceDE w:val="0"/>
        <w:autoSpaceDN w:val="0"/>
        <w:adjustRightInd w:val="0"/>
        <w:snapToGrid w:val="0"/>
        <w:spacing w:before="100" w:beforeAutospacing="1" w:after="60" w:line="264" w:lineRule="auto"/>
        <w:jc w:val="both"/>
        <w:rPr>
          <w:rFonts w:eastAsia="Batang"/>
          <w:kern w:val="2"/>
          <w:sz w:val="22"/>
          <w:szCs w:val="22"/>
          <w:lang w:eastAsia="ko-KR"/>
        </w:rPr>
      </w:pPr>
      <w:r w:rsidRPr="003B0DFA">
        <w:rPr>
          <w:rFonts w:eastAsia="Batang"/>
          <w:kern w:val="2"/>
          <w:sz w:val="22"/>
          <w:szCs w:val="22"/>
          <w:lang w:eastAsia="ko-KR"/>
        </w:rPr>
        <w:lastRenderedPageBreak/>
        <w:t>How to determine the PSFCH resource used by each receiver UE</w:t>
      </w:r>
    </w:p>
    <w:p w14:paraId="32EE073E" w14:textId="77777777" w:rsidR="003B0DFA" w:rsidRPr="003B0DFA" w:rsidRDefault="003B0DFA" w:rsidP="003B0DFA">
      <w:pPr>
        <w:widowControl w:val="0"/>
        <w:numPr>
          <w:ilvl w:val="1"/>
          <w:numId w:val="14"/>
        </w:numPr>
        <w:autoSpaceDE w:val="0"/>
        <w:autoSpaceDN w:val="0"/>
        <w:adjustRightInd w:val="0"/>
        <w:snapToGrid w:val="0"/>
        <w:spacing w:before="100" w:beforeAutospacing="1" w:after="60" w:line="264" w:lineRule="auto"/>
        <w:jc w:val="both"/>
        <w:rPr>
          <w:rFonts w:eastAsia="Batang"/>
          <w:kern w:val="2"/>
          <w:sz w:val="22"/>
          <w:szCs w:val="22"/>
          <w:lang w:eastAsia="ko-KR"/>
        </w:rPr>
      </w:pPr>
      <w:r w:rsidRPr="003B0DFA">
        <w:rPr>
          <w:rFonts w:eastAsia="Batang"/>
          <w:kern w:val="2"/>
          <w:sz w:val="22"/>
          <w:szCs w:val="22"/>
          <w:lang w:eastAsia="ko-KR"/>
        </w:rPr>
        <w:t>FFS whether to support SL HARQ feedback per CBG</w:t>
      </w:r>
    </w:p>
    <w:p w14:paraId="70989762" w14:textId="77777777" w:rsidR="003B0DFA" w:rsidRPr="003B0DFA" w:rsidRDefault="003B0DFA" w:rsidP="003B0DFA">
      <w:pPr>
        <w:widowControl w:val="0"/>
        <w:numPr>
          <w:ilvl w:val="1"/>
          <w:numId w:val="14"/>
        </w:numPr>
        <w:autoSpaceDE w:val="0"/>
        <w:autoSpaceDN w:val="0"/>
        <w:adjustRightInd w:val="0"/>
        <w:snapToGrid w:val="0"/>
        <w:spacing w:before="100" w:beforeAutospacing="1" w:after="60" w:line="264" w:lineRule="auto"/>
        <w:jc w:val="both"/>
        <w:rPr>
          <w:rFonts w:eastAsia="Batang"/>
          <w:kern w:val="2"/>
          <w:sz w:val="22"/>
          <w:szCs w:val="22"/>
          <w:lang w:eastAsia="ko-KR"/>
        </w:rPr>
      </w:pPr>
      <w:r w:rsidRPr="003B0DFA">
        <w:rPr>
          <w:rFonts w:eastAsia="Batang"/>
          <w:kern w:val="2"/>
          <w:sz w:val="22"/>
          <w:szCs w:val="22"/>
          <w:lang w:eastAsia="ko-KR"/>
        </w:rPr>
        <w:t>Other options are not precluded</w:t>
      </w:r>
    </w:p>
    <w:p w14:paraId="28F47DD8" w14:textId="77777777" w:rsidR="003B0DFA" w:rsidRPr="003B0DFA" w:rsidRDefault="003B0DFA" w:rsidP="003B0DFA">
      <w:pPr>
        <w:rPr>
          <w:rFonts w:eastAsia="Batang"/>
          <w:sz w:val="22"/>
          <w:szCs w:val="22"/>
          <w:lang w:eastAsia="x-none"/>
        </w:rPr>
      </w:pPr>
      <w:r w:rsidRPr="003B0DFA">
        <w:rPr>
          <w:rFonts w:eastAsia="Batang"/>
          <w:sz w:val="22"/>
          <w:szCs w:val="22"/>
          <w:highlight w:val="green"/>
          <w:lang w:eastAsia="x-none"/>
        </w:rPr>
        <w:t>Agreements</w:t>
      </w:r>
      <w:r w:rsidRPr="003B0DFA">
        <w:rPr>
          <w:rFonts w:eastAsia="Batang"/>
          <w:sz w:val="22"/>
          <w:szCs w:val="22"/>
          <w:lang w:eastAsia="x-none"/>
        </w:rPr>
        <w:t>:</w:t>
      </w:r>
    </w:p>
    <w:p w14:paraId="468C8908" w14:textId="77777777" w:rsidR="003B0DFA" w:rsidRPr="003B0DFA" w:rsidRDefault="003B0DFA" w:rsidP="003B0DFA">
      <w:pPr>
        <w:widowControl w:val="0"/>
        <w:numPr>
          <w:ilvl w:val="0"/>
          <w:numId w:val="16"/>
        </w:numPr>
        <w:autoSpaceDE w:val="0"/>
        <w:autoSpaceDN w:val="0"/>
        <w:adjustRightInd w:val="0"/>
        <w:snapToGrid w:val="0"/>
        <w:spacing w:before="100" w:beforeAutospacing="1" w:after="60" w:line="264" w:lineRule="auto"/>
        <w:jc w:val="both"/>
        <w:rPr>
          <w:rFonts w:eastAsia="Batang"/>
          <w:kern w:val="2"/>
          <w:sz w:val="22"/>
          <w:szCs w:val="22"/>
          <w:lang w:eastAsia="ko-KR"/>
        </w:rPr>
      </w:pPr>
      <w:r w:rsidRPr="003B0DFA">
        <w:rPr>
          <w:rFonts w:eastAsia="Batang"/>
          <w:kern w:val="2"/>
          <w:sz w:val="22"/>
          <w:szCs w:val="22"/>
          <w:lang w:eastAsia="ko-KR"/>
        </w:rPr>
        <w:t>It is supported to enable and disable SL HARQ feedback in unicast and groupcast.</w:t>
      </w:r>
    </w:p>
    <w:p w14:paraId="1871CF46" w14:textId="77777777" w:rsidR="003B0DFA" w:rsidRPr="003B0DFA" w:rsidRDefault="003B0DFA" w:rsidP="003B0DFA">
      <w:pPr>
        <w:widowControl w:val="0"/>
        <w:numPr>
          <w:ilvl w:val="1"/>
          <w:numId w:val="16"/>
        </w:numPr>
        <w:autoSpaceDE w:val="0"/>
        <w:autoSpaceDN w:val="0"/>
        <w:adjustRightInd w:val="0"/>
        <w:snapToGrid w:val="0"/>
        <w:spacing w:before="100" w:beforeAutospacing="1" w:after="60" w:line="264" w:lineRule="auto"/>
        <w:jc w:val="both"/>
        <w:rPr>
          <w:rFonts w:eastAsia="Batang"/>
          <w:kern w:val="2"/>
          <w:sz w:val="22"/>
          <w:szCs w:val="22"/>
          <w:lang w:eastAsia="ko-KR"/>
        </w:rPr>
      </w:pPr>
      <w:r w:rsidRPr="003B0DFA">
        <w:rPr>
          <w:rFonts w:eastAsia="Batang"/>
          <w:kern w:val="2"/>
          <w:sz w:val="22"/>
          <w:szCs w:val="22"/>
          <w:lang w:eastAsia="ko-KR"/>
        </w:rPr>
        <w:t>FFS when HARQ feedback is enabled and disabled.</w:t>
      </w:r>
    </w:p>
    <w:p w14:paraId="61298253" w14:textId="77777777" w:rsidR="003B0DFA" w:rsidRPr="003B0DFA" w:rsidRDefault="003B0DFA" w:rsidP="003B0DFA">
      <w:pPr>
        <w:rPr>
          <w:rFonts w:eastAsia="Batang"/>
          <w:sz w:val="22"/>
          <w:szCs w:val="22"/>
          <w:lang w:eastAsia="x-none"/>
        </w:rPr>
      </w:pPr>
      <w:r w:rsidRPr="003B0DFA">
        <w:rPr>
          <w:rFonts w:eastAsia="Batang"/>
          <w:sz w:val="22"/>
          <w:szCs w:val="22"/>
          <w:highlight w:val="green"/>
          <w:lang w:eastAsia="x-none"/>
        </w:rPr>
        <w:t>Agreements</w:t>
      </w:r>
      <w:r w:rsidRPr="003B0DFA">
        <w:rPr>
          <w:rFonts w:eastAsia="Batang"/>
          <w:sz w:val="22"/>
          <w:szCs w:val="22"/>
          <w:lang w:eastAsia="x-none"/>
        </w:rPr>
        <w:t>:</w:t>
      </w:r>
    </w:p>
    <w:p w14:paraId="10799873" w14:textId="77777777" w:rsidR="003B0DFA" w:rsidRPr="003B0DFA" w:rsidRDefault="003B0DFA" w:rsidP="003B0DFA">
      <w:pPr>
        <w:widowControl w:val="0"/>
        <w:numPr>
          <w:ilvl w:val="0"/>
          <w:numId w:val="15"/>
        </w:numPr>
        <w:autoSpaceDE w:val="0"/>
        <w:autoSpaceDN w:val="0"/>
        <w:adjustRightInd w:val="0"/>
        <w:snapToGrid w:val="0"/>
        <w:spacing w:before="100" w:beforeAutospacing="1" w:after="60" w:line="264" w:lineRule="auto"/>
        <w:jc w:val="both"/>
        <w:rPr>
          <w:rFonts w:eastAsia="Batang"/>
          <w:kern w:val="2"/>
          <w:sz w:val="22"/>
          <w:szCs w:val="22"/>
          <w:lang w:eastAsia="ko-KR"/>
        </w:rPr>
      </w:pPr>
      <w:r w:rsidRPr="003B0DFA">
        <w:rPr>
          <w:rFonts w:eastAsia="Batang"/>
          <w:kern w:val="2"/>
          <w:sz w:val="22"/>
          <w:szCs w:val="22"/>
          <w:lang w:eastAsia="ko-KR"/>
        </w:rPr>
        <w:t>Study further whether to support UE sending to gNB information which may trigger scheduling retransmission resource in mode 1. FFS including</w:t>
      </w:r>
    </w:p>
    <w:p w14:paraId="23DA35A4" w14:textId="77777777" w:rsidR="003B0DFA" w:rsidRPr="003B0DFA" w:rsidRDefault="003B0DFA" w:rsidP="003B0DFA">
      <w:pPr>
        <w:widowControl w:val="0"/>
        <w:numPr>
          <w:ilvl w:val="1"/>
          <w:numId w:val="15"/>
        </w:numPr>
        <w:autoSpaceDE w:val="0"/>
        <w:autoSpaceDN w:val="0"/>
        <w:adjustRightInd w:val="0"/>
        <w:snapToGrid w:val="0"/>
        <w:spacing w:before="100" w:beforeAutospacing="1" w:after="60" w:line="264" w:lineRule="auto"/>
        <w:jc w:val="both"/>
        <w:rPr>
          <w:rFonts w:eastAsia="Batang"/>
          <w:kern w:val="2"/>
          <w:sz w:val="22"/>
          <w:szCs w:val="22"/>
          <w:lang w:eastAsia="ko-KR"/>
        </w:rPr>
      </w:pPr>
      <w:r w:rsidRPr="003B0DFA">
        <w:rPr>
          <w:rFonts w:eastAsia="Batang"/>
          <w:kern w:val="2"/>
          <w:sz w:val="22"/>
          <w:szCs w:val="22"/>
          <w:lang w:eastAsia="ko-KR"/>
        </w:rPr>
        <w:t>Which information to send</w:t>
      </w:r>
    </w:p>
    <w:p w14:paraId="0548A175" w14:textId="77777777" w:rsidR="003B0DFA" w:rsidRPr="003B0DFA" w:rsidRDefault="003B0DFA" w:rsidP="003B0DFA">
      <w:pPr>
        <w:widowControl w:val="0"/>
        <w:numPr>
          <w:ilvl w:val="1"/>
          <w:numId w:val="15"/>
        </w:numPr>
        <w:autoSpaceDE w:val="0"/>
        <w:autoSpaceDN w:val="0"/>
        <w:adjustRightInd w:val="0"/>
        <w:snapToGrid w:val="0"/>
        <w:spacing w:before="100" w:beforeAutospacing="1" w:after="60" w:line="264" w:lineRule="auto"/>
        <w:jc w:val="both"/>
        <w:rPr>
          <w:rFonts w:eastAsia="Batang"/>
          <w:kern w:val="2"/>
          <w:sz w:val="22"/>
          <w:szCs w:val="22"/>
          <w:lang w:eastAsia="ko-KR"/>
        </w:rPr>
      </w:pPr>
      <w:r w:rsidRPr="003B0DFA">
        <w:rPr>
          <w:rFonts w:eastAsia="Batang"/>
          <w:kern w:val="2"/>
          <w:sz w:val="22"/>
          <w:szCs w:val="22"/>
          <w:lang w:eastAsia="ko-KR"/>
        </w:rPr>
        <w:t>Which UE to send to gNB</w:t>
      </w:r>
    </w:p>
    <w:p w14:paraId="4E66C6EA" w14:textId="77777777" w:rsidR="003B0DFA" w:rsidRPr="003B0DFA" w:rsidRDefault="003B0DFA" w:rsidP="003B0DFA">
      <w:pPr>
        <w:widowControl w:val="0"/>
        <w:numPr>
          <w:ilvl w:val="1"/>
          <w:numId w:val="15"/>
        </w:numPr>
        <w:autoSpaceDE w:val="0"/>
        <w:autoSpaceDN w:val="0"/>
        <w:adjustRightInd w:val="0"/>
        <w:snapToGrid w:val="0"/>
        <w:spacing w:before="100" w:beforeAutospacing="1" w:after="60" w:line="264" w:lineRule="auto"/>
        <w:jc w:val="both"/>
        <w:rPr>
          <w:rFonts w:eastAsia="Batang"/>
          <w:kern w:val="2"/>
          <w:sz w:val="22"/>
          <w:szCs w:val="22"/>
          <w:lang w:eastAsia="ko-KR"/>
        </w:rPr>
      </w:pPr>
      <w:r w:rsidRPr="003B0DFA">
        <w:rPr>
          <w:rFonts w:eastAsia="Batang"/>
          <w:kern w:val="2"/>
          <w:sz w:val="22"/>
          <w:szCs w:val="22"/>
          <w:lang w:eastAsia="ko-KR"/>
        </w:rPr>
        <w:t>Which channel to use</w:t>
      </w:r>
    </w:p>
    <w:p w14:paraId="57E9EECD" w14:textId="77777777" w:rsidR="003B0DFA" w:rsidRPr="003B0DFA" w:rsidRDefault="003B0DFA" w:rsidP="003B0DFA">
      <w:pPr>
        <w:widowControl w:val="0"/>
        <w:numPr>
          <w:ilvl w:val="1"/>
          <w:numId w:val="15"/>
        </w:numPr>
        <w:autoSpaceDE w:val="0"/>
        <w:autoSpaceDN w:val="0"/>
        <w:adjustRightInd w:val="0"/>
        <w:snapToGrid w:val="0"/>
        <w:spacing w:before="100" w:beforeAutospacing="1" w:after="60" w:line="264" w:lineRule="auto"/>
        <w:jc w:val="both"/>
        <w:rPr>
          <w:rFonts w:eastAsia="Batang"/>
          <w:kern w:val="2"/>
          <w:sz w:val="22"/>
          <w:szCs w:val="22"/>
          <w:lang w:eastAsia="ko-KR"/>
        </w:rPr>
      </w:pPr>
      <w:r w:rsidRPr="003B0DFA">
        <w:rPr>
          <w:rFonts w:eastAsia="Batang"/>
          <w:kern w:val="2"/>
          <w:sz w:val="22"/>
          <w:szCs w:val="22"/>
          <w:lang w:eastAsia="ko-KR"/>
        </w:rPr>
        <w:t>Which resource to use</w:t>
      </w:r>
    </w:p>
    <w:p w14:paraId="02A4C41A" w14:textId="77777777" w:rsidR="005418B2" w:rsidRPr="004C0911" w:rsidRDefault="005418B2" w:rsidP="00012620">
      <w:pPr>
        <w:jc w:val="both"/>
        <w:rPr>
          <w:sz w:val="22"/>
          <w:szCs w:val="22"/>
          <w:lang w:val="en-GB"/>
        </w:rPr>
      </w:pPr>
    </w:p>
    <w:p w14:paraId="29E065B8" w14:textId="473EF585" w:rsidR="005418B2" w:rsidRPr="006055AB" w:rsidRDefault="005A4CF8" w:rsidP="00012620">
      <w:pPr>
        <w:jc w:val="both"/>
        <w:rPr>
          <w:sz w:val="22"/>
          <w:szCs w:val="22"/>
        </w:rPr>
      </w:pPr>
      <w:r>
        <w:rPr>
          <w:sz w:val="22"/>
          <w:szCs w:val="22"/>
        </w:rPr>
        <w:t>In this contribution</w:t>
      </w:r>
      <w:r w:rsidR="00A04223" w:rsidRPr="006055AB">
        <w:rPr>
          <w:sz w:val="22"/>
          <w:szCs w:val="22"/>
        </w:rPr>
        <w:t xml:space="preserve">, we </w:t>
      </w:r>
      <w:r>
        <w:rPr>
          <w:sz w:val="22"/>
          <w:szCs w:val="22"/>
        </w:rPr>
        <w:t xml:space="preserve">discuss and give our views on HARQ feedback, </w:t>
      </w:r>
      <w:r w:rsidR="00B54580">
        <w:rPr>
          <w:sz w:val="22"/>
          <w:szCs w:val="22"/>
        </w:rPr>
        <w:t xml:space="preserve">layer-1 ID(s), </w:t>
      </w:r>
      <w:r w:rsidR="00EA542A">
        <w:rPr>
          <w:rFonts w:hint="eastAsia"/>
          <w:sz w:val="22"/>
          <w:szCs w:val="22"/>
        </w:rPr>
        <w:t>SFCI</w:t>
      </w:r>
      <w:r w:rsidR="00EA542A">
        <w:rPr>
          <w:sz w:val="22"/>
          <w:szCs w:val="22"/>
        </w:rPr>
        <w:t xml:space="preserve"> </w:t>
      </w:r>
      <w:r w:rsidR="00EA542A">
        <w:rPr>
          <w:rFonts w:hint="eastAsia"/>
          <w:sz w:val="22"/>
          <w:szCs w:val="22"/>
        </w:rPr>
        <w:t>feedback</w:t>
      </w:r>
      <w:r w:rsidR="00EA542A">
        <w:rPr>
          <w:sz w:val="22"/>
          <w:szCs w:val="22"/>
        </w:rPr>
        <w:t>,</w:t>
      </w:r>
      <w:r w:rsidR="00A06EE9">
        <w:rPr>
          <w:sz w:val="22"/>
          <w:szCs w:val="22"/>
        </w:rPr>
        <w:t xml:space="preserve"> PSFCH design,</w:t>
      </w:r>
      <w:r w:rsidR="00EA542A">
        <w:rPr>
          <w:sz w:val="22"/>
          <w:szCs w:val="22"/>
        </w:rPr>
        <w:t xml:space="preserve"> </w:t>
      </w:r>
      <w:r>
        <w:rPr>
          <w:sz w:val="22"/>
          <w:szCs w:val="22"/>
        </w:rPr>
        <w:t>power control and other physical layer procedures</w:t>
      </w:r>
      <w:r w:rsidR="00A04223" w:rsidRPr="006055AB">
        <w:rPr>
          <w:sz w:val="22"/>
          <w:szCs w:val="22"/>
        </w:rPr>
        <w:t>.</w:t>
      </w:r>
    </w:p>
    <w:p w14:paraId="6E67036A" w14:textId="77777777" w:rsidR="00BE062D" w:rsidRPr="006055AB" w:rsidRDefault="00BE062D" w:rsidP="00012620">
      <w:pPr>
        <w:jc w:val="both"/>
        <w:rPr>
          <w:sz w:val="22"/>
          <w:szCs w:val="22"/>
        </w:rPr>
      </w:pPr>
    </w:p>
    <w:p w14:paraId="13A68B12" w14:textId="77777777" w:rsidR="00012620" w:rsidRPr="006055AB" w:rsidRDefault="00012620" w:rsidP="00012620">
      <w:pPr>
        <w:pStyle w:val="1"/>
        <w:spacing w:before="0" w:after="120"/>
        <w:jc w:val="both"/>
        <w:rPr>
          <w:rFonts w:ascii="Times New Roman" w:hAnsi="Times New Roman" w:cs="Times New Roman"/>
          <w:sz w:val="22"/>
          <w:szCs w:val="22"/>
          <w:lang w:val="en-AU" w:eastAsia="en-AU"/>
        </w:rPr>
      </w:pPr>
      <w:r w:rsidRPr="006055AB">
        <w:rPr>
          <w:rFonts w:ascii="Times New Roman" w:hAnsi="Times New Roman" w:cs="Times New Roman"/>
          <w:sz w:val="22"/>
          <w:szCs w:val="22"/>
          <w:lang w:val="en-AU" w:eastAsia="en-AU"/>
        </w:rPr>
        <w:t>Discussion</w:t>
      </w:r>
    </w:p>
    <w:p w14:paraId="1DE5C5AE" w14:textId="549943D8" w:rsidR="006055AB" w:rsidRPr="007C72D9" w:rsidRDefault="00BA072C" w:rsidP="007C72D9">
      <w:pPr>
        <w:spacing w:before="240" w:after="120"/>
        <w:jc w:val="both"/>
        <w:rPr>
          <w:b/>
          <w:sz w:val="22"/>
          <w:szCs w:val="22"/>
          <w:u w:val="single"/>
        </w:rPr>
      </w:pPr>
      <w:r>
        <w:rPr>
          <w:b/>
          <w:sz w:val="22"/>
          <w:szCs w:val="22"/>
          <w:u w:val="single"/>
        </w:rPr>
        <w:t>HARQ feedback</w:t>
      </w:r>
    </w:p>
    <w:p w14:paraId="382D2EC2" w14:textId="24FEF466" w:rsidR="00844B7E" w:rsidRDefault="00FB74FF" w:rsidP="001F35F5">
      <w:pPr>
        <w:jc w:val="both"/>
        <w:rPr>
          <w:sz w:val="22"/>
          <w:szCs w:val="22"/>
        </w:rPr>
      </w:pPr>
      <w:r>
        <w:rPr>
          <w:rFonts w:hint="eastAsia"/>
          <w:sz w:val="22"/>
          <w:szCs w:val="22"/>
        </w:rPr>
        <w:t>HA</w:t>
      </w:r>
      <w:r>
        <w:rPr>
          <w:sz w:val="22"/>
          <w:szCs w:val="22"/>
        </w:rPr>
        <w:t xml:space="preserve">RQ feedback can increase the reliability </w:t>
      </w:r>
      <w:r w:rsidR="00D05EDC">
        <w:rPr>
          <w:sz w:val="22"/>
          <w:szCs w:val="22"/>
        </w:rPr>
        <w:t xml:space="preserve">and resource efficiency </w:t>
      </w:r>
      <w:r>
        <w:rPr>
          <w:sz w:val="22"/>
          <w:szCs w:val="22"/>
        </w:rPr>
        <w:t>for unicast</w:t>
      </w:r>
      <w:r w:rsidR="005B5F98">
        <w:rPr>
          <w:sz w:val="22"/>
          <w:szCs w:val="22"/>
        </w:rPr>
        <w:t xml:space="preserve"> on sidelink</w:t>
      </w:r>
      <w:r w:rsidR="00422EFF">
        <w:rPr>
          <w:sz w:val="22"/>
          <w:szCs w:val="22"/>
        </w:rPr>
        <w:t xml:space="preserve">. </w:t>
      </w:r>
      <w:r w:rsidR="006D1C6D">
        <w:rPr>
          <w:sz w:val="22"/>
          <w:szCs w:val="22"/>
        </w:rPr>
        <w:t>In exiting Uu HARQ feedback behavior, the transmitter and receiver are one-to-one associated, i.e. for each transmission, there is at most one receiver, and at most one resource for HARQ feedback is needed.</w:t>
      </w:r>
      <w:r w:rsidR="0028070A">
        <w:rPr>
          <w:sz w:val="22"/>
          <w:szCs w:val="22"/>
        </w:rPr>
        <w:t xml:space="preserve"> </w:t>
      </w:r>
      <w:r w:rsidR="001F35F5">
        <w:rPr>
          <w:sz w:val="22"/>
          <w:szCs w:val="22"/>
        </w:rPr>
        <w:t xml:space="preserve">As </w:t>
      </w:r>
      <w:r w:rsidR="00F02A23">
        <w:rPr>
          <w:sz w:val="22"/>
          <w:szCs w:val="22"/>
        </w:rPr>
        <w:t xml:space="preserve">to groupcast, multiple receivers </w:t>
      </w:r>
      <w:r w:rsidR="00844B7E">
        <w:rPr>
          <w:sz w:val="22"/>
          <w:szCs w:val="22"/>
        </w:rPr>
        <w:t>need to</w:t>
      </w:r>
      <w:r w:rsidR="00F02A23">
        <w:rPr>
          <w:sz w:val="22"/>
          <w:szCs w:val="22"/>
        </w:rPr>
        <w:t xml:space="preserve"> feedback HARQ-ACK information</w:t>
      </w:r>
      <w:r w:rsidR="00D05EDC">
        <w:rPr>
          <w:sz w:val="22"/>
          <w:szCs w:val="22"/>
        </w:rPr>
        <w:t xml:space="preserve">, </w:t>
      </w:r>
      <w:r w:rsidR="00A06EE9">
        <w:rPr>
          <w:sz w:val="22"/>
          <w:szCs w:val="22"/>
        </w:rPr>
        <w:t>2 options are agreed last meeting</w:t>
      </w:r>
      <w:r w:rsidR="00D05EDC">
        <w:rPr>
          <w:sz w:val="22"/>
          <w:szCs w:val="22"/>
        </w:rPr>
        <w:t xml:space="preserve"> for HARQ feedback in groupcast</w:t>
      </w:r>
      <w:r w:rsidR="00A06EE9">
        <w:rPr>
          <w:sz w:val="22"/>
          <w:szCs w:val="22"/>
        </w:rPr>
        <w:t>.</w:t>
      </w:r>
    </w:p>
    <w:p w14:paraId="232D0238" w14:textId="77777777" w:rsidR="008D5384" w:rsidRDefault="008D5384" w:rsidP="008D5384">
      <w:pPr>
        <w:jc w:val="both"/>
        <w:rPr>
          <w:sz w:val="22"/>
          <w:szCs w:val="22"/>
        </w:rPr>
      </w:pPr>
    </w:p>
    <w:p w14:paraId="368C9930" w14:textId="6AF14FA8" w:rsidR="00E02C96" w:rsidRDefault="008D5384" w:rsidP="008D5384">
      <w:pPr>
        <w:jc w:val="both"/>
        <w:rPr>
          <w:sz w:val="22"/>
          <w:szCs w:val="22"/>
        </w:rPr>
      </w:pPr>
      <w:r>
        <w:rPr>
          <w:sz w:val="22"/>
          <w:szCs w:val="22"/>
        </w:rPr>
        <w:t xml:space="preserve">In Option 1 a receiver UE only transmits </w:t>
      </w:r>
      <w:r w:rsidRPr="003B0DFA">
        <w:rPr>
          <w:sz w:val="22"/>
          <w:szCs w:val="22"/>
        </w:rPr>
        <w:t>HARQ-NACK</w:t>
      </w:r>
      <w:r>
        <w:rPr>
          <w:sz w:val="22"/>
          <w:szCs w:val="22"/>
        </w:rPr>
        <w:t xml:space="preserve"> </w:t>
      </w:r>
      <w:r w:rsidRPr="003B0DFA">
        <w:rPr>
          <w:sz w:val="22"/>
          <w:szCs w:val="22"/>
        </w:rPr>
        <w:t>on PSFCH if it fails to decode the corresponding TB</w:t>
      </w:r>
      <w:r w:rsidRPr="008D5384">
        <w:rPr>
          <w:sz w:val="22"/>
          <w:szCs w:val="22"/>
        </w:rPr>
        <w:t xml:space="preserve">, and transmit no signal otherwise. This </w:t>
      </w:r>
      <w:r>
        <w:rPr>
          <w:sz w:val="22"/>
          <w:szCs w:val="22"/>
        </w:rPr>
        <w:t>option c</w:t>
      </w:r>
      <w:r w:rsidR="001D55F7">
        <w:rPr>
          <w:sz w:val="22"/>
          <w:szCs w:val="22"/>
        </w:rPr>
        <w:t>an minimize PSFCH transmissions, and it allows multiple receiver UEs in the group using same PSFCH resource, and hence it</w:t>
      </w:r>
      <w:r>
        <w:rPr>
          <w:sz w:val="22"/>
          <w:szCs w:val="22"/>
        </w:rPr>
        <w:t xml:space="preserve"> is beneficial to reduce interference and congestion </w:t>
      </w:r>
      <w:r w:rsidR="001D55F7">
        <w:rPr>
          <w:sz w:val="22"/>
          <w:szCs w:val="22"/>
        </w:rPr>
        <w:t xml:space="preserve">level </w:t>
      </w:r>
      <w:r>
        <w:rPr>
          <w:sz w:val="22"/>
          <w:szCs w:val="22"/>
        </w:rPr>
        <w:t xml:space="preserve">on sidelink carrier. </w:t>
      </w:r>
      <w:r w:rsidR="001D55F7">
        <w:rPr>
          <w:sz w:val="22"/>
          <w:szCs w:val="22"/>
        </w:rPr>
        <w:t xml:space="preserve">However, this option cannot identify </w:t>
      </w:r>
      <w:r w:rsidR="00BD6711">
        <w:rPr>
          <w:sz w:val="22"/>
          <w:szCs w:val="22"/>
        </w:rPr>
        <w:t>some receivers that missed the PSCCH (which will not feedback either NACK or ACK)</w:t>
      </w:r>
      <w:r w:rsidR="00E02C96">
        <w:rPr>
          <w:sz w:val="22"/>
          <w:szCs w:val="22"/>
        </w:rPr>
        <w:t xml:space="preserve">, </w:t>
      </w:r>
      <w:r w:rsidR="00BD6711">
        <w:rPr>
          <w:sz w:val="22"/>
          <w:szCs w:val="22"/>
        </w:rPr>
        <w:t>and t</w:t>
      </w:r>
      <w:r w:rsidR="00E02C96">
        <w:rPr>
          <w:sz w:val="22"/>
          <w:szCs w:val="22"/>
        </w:rPr>
        <w:t>his can eventually degrade reliability of PSSCH.</w:t>
      </w:r>
      <w:r w:rsidR="00C670A6">
        <w:rPr>
          <w:sz w:val="22"/>
          <w:szCs w:val="22"/>
        </w:rPr>
        <w:t xml:space="preserve"> </w:t>
      </w:r>
    </w:p>
    <w:p w14:paraId="01A36133" w14:textId="735DD033" w:rsidR="00C670A6" w:rsidRDefault="00C670A6" w:rsidP="008D5384">
      <w:pPr>
        <w:jc w:val="both"/>
        <w:rPr>
          <w:sz w:val="22"/>
          <w:szCs w:val="22"/>
        </w:rPr>
      </w:pPr>
    </w:p>
    <w:p w14:paraId="7109382C" w14:textId="57843D5C" w:rsidR="00177C3C" w:rsidRDefault="00177C3C" w:rsidP="008D5384">
      <w:pPr>
        <w:jc w:val="both"/>
        <w:rPr>
          <w:sz w:val="22"/>
          <w:szCs w:val="22"/>
        </w:rPr>
      </w:pPr>
      <w:r>
        <w:rPr>
          <w:sz w:val="22"/>
          <w:szCs w:val="22"/>
        </w:rPr>
        <w:t xml:space="preserve">There </w:t>
      </w:r>
      <w:r w:rsidR="00D05EDC">
        <w:rPr>
          <w:sz w:val="22"/>
          <w:szCs w:val="22"/>
        </w:rPr>
        <w:t>can be</w:t>
      </w:r>
      <w:r>
        <w:rPr>
          <w:sz w:val="22"/>
          <w:szCs w:val="22"/>
        </w:rPr>
        <w:t xml:space="preserve"> 2 sub-options for Option 2:</w:t>
      </w:r>
    </w:p>
    <w:p w14:paraId="3D98B881" w14:textId="77777777" w:rsidR="00BD6711" w:rsidRDefault="00BD6711" w:rsidP="008D5384">
      <w:pPr>
        <w:jc w:val="both"/>
        <w:rPr>
          <w:sz w:val="22"/>
          <w:szCs w:val="22"/>
        </w:rPr>
      </w:pPr>
    </w:p>
    <w:p w14:paraId="7FA4C8B0" w14:textId="03C74CE6" w:rsidR="001F35F5" w:rsidRDefault="00844B7E" w:rsidP="00177C3C">
      <w:pPr>
        <w:pStyle w:val="a5"/>
        <w:numPr>
          <w:ilvl w:val="0"/>
          <w:numId w:val="11"/>
        </w:numPr>
        <w:jc w:val="both"/>
        <w:rPr>
          <w:rFonts w:ascii="Times New Roman" w:hAnsi="Times New Roman"/>
        </w:rPr>
      </w:pPr>
      <w:r w:rsidRPr="00E5158E">
        <w:rPr>
          <w:rFonts w:ascii="Times New Roman" w:hAnsi="Times New Roman"/>
        </w:rPr>
        <w:t>Option 2</w:t>
      </w:r>
      <w:r w:rsidR="00177C3C">
        <w:rPr>
          <w:rFonts w:ascii="Times New Roman" w:hAnsi="Times New Roman"/>
        </w:rPr>
        <w:t>-1</w:t>
      </w:r>
      <w:r w:rsidRPr="00E5158E">
        <w:rPr>
          <w:rFonts w:ascii="Times New Roman" w:hAnsi="Times New Roman"/>
        </w:rPr>
        <w:t xml:space="preserve">: Two </w:t>
      </w:r>
      <w:r w:rsidR="00177C3C">
        <w:rPr>
          <w:rFonts w:ascii="Times New Roman" w:hAnsi="Times New Roman"/>
        </w:rPr>
        <w:t xml:space="preserve">PSFCH </w:t>
      </w:r>
      <w:r w:rsidRPr="00E5158E">
        <w:rPr>
          <w:rFonts w:ascii="Times New Roman" w:hAnsi="Times New Roman"/>
        </w:rPr>
        <w:t xml:space="preserve">resources, one receiver </w:t>
      </w:r>
      <w:r w:rsidR="00235D23" w:rsidRPr="00E5158E">
        <w:rPr>
          <w:rFonts w:ascii="Times New Roman" w:hAnsi="Times New Roman"/>
        </w:rPr>
        <w:t xml:space="preserve">transmits a </w:t>
      </w:r>
      <w:r w:rsidR="00177C3C">
        <w:rPr>
          <w:rFonts w:ascii="Times New Roman" w:hAnsi="Times New Roman"/>
        </w:rPr>
        <w:t>HARQ-ACK</w:t>
      </w:r>
      <w:r w:rsidRPr="00E5158E">
        <w:rPr>
          <w:rFonts w:ascii="Times New Roman" w:hAnsi="Times New Roman"/>
        </w:rPr>
        <w:t xml:space="preserve"> on one resource</w:t>
      </w:r>
      <w:r w:rsidR="00235D23" w:rsidRPr="00E5158E">
        <w:rPr>
          <w:rFonts w:ascii="Times New Roman" w:hAnsi="Times New Roman"/>
        </w:rPr>
        <w:t xml:space="preserve"> if </w:t>
      </w:r>
      <w:r w:rsidR="00177C3C" w:rsidRPr="00177C3C">
        <w:rPr>
          <w:rFonts w:ascii="Times New Roman" w:hAnsi="Times New Roman"/>
        </w:rPr>
        <w:t>it successfully decodes the corresponding TB</w:t>
      </w:r>
      <w:r w:rsidRPr="00E5158E">
        <w:rPr>
          <w:rFonts w:ascii="Times New Roman" w:hAnsi="Times New Roman"/>
        </w:rPr>
        <w:t xml:space="preserve">, </w:t>
      </w:r>
      <w:r w:rsidR="00235D23" w:rsidRPr="00E5158E">
        <w:rPr>
          <w:rFonts w:ascii="Times New Roman" w:hAnsi="Times New Roman"/>
        </w:rPr>
        <w:t xml:space="preserve">and transmit </w:t>
      </w:r>
      <w:r w:rsidR="00177C3C">
        <w:rPr>
          <w:rFonts w:ascii="Times New Roman" w:hAnsi="Times New Roman"/>
        </w:rPr>
        <w:t>HARQ-NACK</w:t>
      </w:r>
      <w:r w:rsidR="00177C3C" w:rsidRPr="00E5158E">
        <w:rPr>
          <w:rFonts w:ascii="Times New Roman" w:hAnsi="Times New Roman"/>
        </w:rPr>
        <w:t xml:space="preserve"> </w:t>
      </w:r>
      <w:r w:rsidR="00235D23" w:rsidRPr="00E5158E">
        <w:rPr>
          <w:rFonts w:ascii="Times New Roman" w:hAnsi="Times New Roman"/>
        </w:rPr>
        <w:t xml:space="preserve">on the other resource if it </w:t>
      </w:r>
      <w:r w:rsidR="00177C3C" w:rsidRPr="00177C3C">
        <w:rPr>
          <w:rFonts w:ascii="Times New Roman" w:hAnsi="Times New Roman"/>
        </w:rPr>
        <w:t>fails to decode the corresponding TB after decoding the associated PSCCH</w:t>
      </w:r>
      <w:r w:rsidRPr="00E5158E">
        <w:rPr>
          <w:rFonts w:ascii="Times New Roman" w:hAnsi="Times New Roman"/>
        </w:rPr>
        <w:t>;</w:t>
      </w:r>
    </w:p>
    <w:p w14:paraId="0FDDC4B6" w14:textId="77777777" w:rsidR="00A3017A" w:rsidRPr="00E5158E" w:rsidRDefault="00A3017A" w:rsidP="00A3017A">
      <w:pPr>
        <w:pStyle w:val="a5"/>
        <w:jc w:val="both"/>
        <w:rPr>
          <w:rFonts w:ascii="Times New Roman" w:hAnsi="Times New Roman"/>
        </w:rPr>
      </w:pPr>
    </w:p>
    <w:p w14:paraId="148E805A" w14:textId="220A1B88" w:rsidR="00844B7E" w:rsidRPr="00E5158E" w:rsidRDefault="00177C3C" w:rsidP="00E5158E">
      <w:pPr>
        <w:pStyle w:val="a5"/>
        <w:numPr>
          <w:ilvl w:val="0"/>
          <w:numId w:val="11"/>
        </w:numPr>
        <w:jc w:val="both"/>
        <w:rPr>
          <w:rFonts w:ascii="Times New Roman" w:hAnsi="Times New Roman"/>
        </w:rPr>
      </w:pPr>
      <w:r>
        <w:rPr>
          <w:rFonts w:ascii="Times New Roman" w:hAnsi="Times New Roman"/>
        </w:rPr>
        <w:t>Option 2-2</w:t>
      </w:r>
      <w:r w:rsidR="00844B7E" w:rsidRPr="00E5158E">
        <w:rPr>
          <w:rFonts w:ascii="Times New Roman" w:hAnsi="Times New Roman"/>
        </w:rPr>
        <w:t>: dedicated resource for each receiver</w:t>
      </w:r>
      <w:r w:rsidR="00235D23" w:rsidRPr="00E5158E">
        <w:rPr>
          <w:rFonts w:ascii="Times New Roman" w:hAnsi="Times New Roman"/>
        </w:rPr>
        <w:t xml:space="preserve">, one receiver transmits </w:t>
      </w:r>
      <w:r>
        <w:rPr>
          <w:rFonts w:ascii="Times New Roman" w:hAnsi="Times New Roman"/>
        </w:rPr>
        <w:t>HARQ-ACK or HARQ-</w:t>
      </w:r>
      <w:r w:rsidR="00235D23" w:rsidRPr="00E5158E">
        <w:rPr>
          <w:rFonts w:ascii="Times New Roman" w:hAnsi="Times New Roman"/>
        </w:rPr>
        <w:t xml:space="preserve">NACK </w:t>
      </w:r>
      <w:r w:rsidR="00BD6711">
        <w:rPr>
          <w:rFonts w:ascii="Times New Roman" w:hAnsi="Times New Roman"/>
        </w:rPr>
        <w:t>according to decoding result</w:t>
      </w:r>
      <w:r w:rsidR="00235D23" w:rsidRPr="00E5158E">
        <w:rPr>
          <w:rFonts w:ascii="Times New Roman" w:hAnsi="Times New Roman"/>
        </w:rPr>
        <w:t xml:space="preserve"> </w:t>
      </w:r>
      <w:r w:rsidR="00D05EDC">
        <w:rPr>
          <w:rFonts w:ascii="Times New Roman" w:hAnsi="Times New Roman"/>
        </w:rPr>
        <w:t>of the corresponding TB</w:t>
      </w:r>
      <w:r w:rsidR="00844B7E" w:rsidRPr="00E5158E">
        <w:rPr>
          <w:rFonts w:ascii="Times New Roman" w:hAnsi="Times New Roman"/>
        </w:rPr>
        <w:t>;</w:t>
      </w:r>
    </w:p>
    <w:p w14:paraId="4C1A4AAB" w14:textId="77777777" w:rsidR="001F17B0" w:rsidRPr="00177C3C" w:rsidRDefault="001F17B0" w:rsidP="009454DD">
      <w:pPr>
        <w:jc w:val="both"/>
        <w:rPr>
          <w:sz w:val="22"/>
          <w:szCs w:val="22"/>
          <w:lang w:val="en-AU"/>
        </w:rPr>
      </w:pPr>
    </w:p>
    <w:p w14:paraId="6DCF4678" w14:textId="7FDE400A" w:rsidR="00602684" w:rsidRDefault="00D0007D" w:rsidP="009454DD">
      <w:pPr>
        <w:jc w:val="both"/>
        <w:rPr>
          <w:sz w:val="22"/>
          <w:szCs w:val="22"/>
        </w:rPr>
      </w:pPr>
      <w:r>
        <w:rPr>
          <w:sz w:val="22"/>
          <w:szCs w:val="22"/>
        </w:rPr>
        <w:t>Option</w:t>
      </w:r>
      <w:r w:rsidR="001E1CC7">
        <w:rPr>
          <w:sz w:val="22"/>
          <w:szCs w:val="22"/>
        </w:rPr>
        <w:t xml:space="preserve"> </w:t>
      </w:r>
      <w:r>
        <w:rPr>
          <w:sz w:val="22"/>
          <w:szCs w:val="22"/>
        </w:rPr>
        <w:t>2</w:t>
      </w:r>
      <w:r w:rsidR="001E1CC7">
        <w:rPr>
          <w:sz w:val="22"/>
          <w:szCs w:val="22"/>
        </w:rPr>
        <w:t>-1 has similar advantage and same issue (cannot identify DTX receivers) as Option 1.</w:t>
      </w:r>
      <w:r>
        <w:rPr>
          <w:sz w:val="22"/>
          <w:szCs w:val="22"/>
        </w:rPr>
        <w:t xml:space="preserve"> </w:t>
      </w:r>
      <w:r w:rsidR="00875244">
        <w:rPr>
          <w:sz w:val="22"/>
          <w:szCs w:val="22"/>
        </w:rPr>
        <w:t xml:space="preserve">To ensure the reliability, Option </w:t>
      </w:r>
      <w:r w:rsidR="001E1CC7">
        <w:rPr>
          <w:sz w:val="22"/>
          <w:szCs w:val="22"/>
        </w:rPr>
        <w:t>2-2</w:t>
      </w:r>
      <w:r w:rsidR="00875244">
        <w:rPr>
          <w:sz w:val="22"/>
          <w:szCs w:val="22"/>
        </w:rPr>
        <w:t xml:space="preserve"> should be considered for groupcast HARQ feedback. When the number </w:t>
      </w:r>
      <w:r w:rsidR="00C4490D">
        <w:rPr>
          <w:sz w:val="22"/>
          <w:szCs w:val="22"/>
        </w:rPr>
        <w:t>of receivers in a group</w:t>
      </w:r>
      <w:r w:rsidR="00875244">
        <w:rPr>
          <w:sz w:val="22"/>
          <w:szCs w:val="22"/>
        </w:rPr>
        <w:t>cast session is large, the HARQ feedback functionality can be disabled to reduce the feedback resource overhead.</w:t>
      </w:r>
    </w:p>
    <w:p w14:paraId="0C060273" w14:textId="77777777" w:rsidR="001F35F5" w:rsidRPr="006055AB" w:rsidRDefault="001F35F5" w:rsidP="009454DD">
      <w:pPr>
        <w:jc w:val="both"/>
        <w:rPr>
          <w:sz w:val="22"/>
          <w:szCs w:val="22"/>
        </w:rPr>
      </w:pPr>
    </w:p>
    <w:p w14:paraId="09F2B7EA" w14:textId="77777777" w:rsidR="00705A3A" w:rsidRPr="006055AB" w:rsidRDefault="00602684" w:rsidP="004D2AB8">
      <w:pPr>
        <w:spacing w:after="120"/>
        <w:jc w:val="both"/>
        <w:rPr>
          <w:b/>
          <w:i/>
          <w:sz w:val="22"/>
          <w:szCs w:val="22"/>
        </w:rPr>
      </w:pPr>
      <w:r w:rsidRPr="006055AB">
        <w:rPr>
          <w:b/>
          <w:i/>
          <w:sz w:val="22"/>
          <w:szCs w:val="22"/>
        </w:rPr>
        <w:t xml:space="preserve">Proposal </w:t>
      </w:r>
      <w:r w:rsidR="00705A3A" w:rsidRPr="006055AB">
        <w:rPr>
          <w:b/>
          <w:i/>
          <w:sz w:val="22"/>
          <w:szCs w:val="22"/>
        </w:rPr>
        <w:t>1</w:t>
      </w:r>
      <w:r w:rsidRPr="006055AB">
        <w:rPr>
          <w:b/>
          <w:i/>
          <w:sz w:val="22"/>
          <w:szCs w:val="22"/>
        </w:rPr>
        <w:t xml:space="preserve">: </w:t>
      </w:r>
    </w:p>
    <w:p w14:paraId="075250C7" w14:textId="051BB75B" w:rsidR="009C2388" w:rsidRDefault="00964340" w:rsidP="00946724">
      <w:pPr>
        <w:pStyle w:val="a5"/>
        <w:numPr>
          <w:ilvl w:val="0"/>
          <w:numId w:val="3"/>
        </w:numPr>
        <w:jc w:val="both"/>
        <w:rPr>
          <w:rFonts w:ascii="Times New Roman" w:hAnsi="Times New Roman"/>
          <w:b/>
          <w:i/>
        </w:rPr>
      </w:pPr>
      <w:r>
        <w:rPr>
          <w:rFonts w:ascii="Times New Roman" w:hAnsi="Times New Roman"/>
          <w:b/>
          <w:i/>
        </w:rPr>
        <w:lastRenderedPageBreak/>
        <w:t xml:space="preserve">Use dedicated HARQ feedback resource for each receiver </w:t>
      </w:r>
      <w:r w:rsidR="00C4490D">
        <w:rPr>
          <w:rFonts w:ascii="Times New Roman" w:hAnsi="Times New Roman"/>
          <w:b/>
          <w:i/>
        </w:rPr>
        <w:t>in group</w:t>
      </w:r>
      <w:r>
        <w:rPr>
          <w:rFonts w:ascii="Times New Roman" w:hAnsi="Times New Roman"/>
          <w:b/>
          <w:i/>
        </w:rPr>
        <w:t>cast</w:t>
      </w:r>
      <w:r w:rsidR="00DA0189">
        <w:rPr>
          <w:rFonts w:ascii="Times New Roman" w:hAnsi="Times New Roman"/>
          <w:b/>
          <w:i/>
        </w:rPr>
        <w:t>.</w:t>
      </w:r>
      <w:bookmarkStart w:id="0" w:name="_GoBack"/>
      <w:bookmarkEnd w:id="0"/>
    </w:p>
    <w:p w14:paraId="32FC0134" w14:textId="36FFEC67" w:rsidR="00550ABD" w:rsidRPr="003C6DD0" w:rsidRDefault="00550ABD" w:rsidP="00550ABD">
      <w:pPr>
        <w:spacing w:before="240" w:after="120"/>
        <w:jc w:val="both"/>
        <w:rPr>
          <w:b/>
          <w:u w:val="single"/>
        </w:rPr>
      </w:pPr>
      <w:r w:rsidRPr="003C6DD0">
        <w:rPr>
          <w:b/>
          <w:u w:val="single"/>
        </w:rPr>
        <w:t>L</w:t>
      </w:r>
      <w:r w:rsidR="0054729A">
        <w:rPr>
          <w:b/>
          <w:u w:val="single"/>
        </w:rPr>
        <w:t>ayer-1</w:t>
      </w:r>
      <w:r w:rsidRPr="003C6DD0">
        <w:rPr>
          <w:b/>
          <w:u w:val="single"/>
        </w:rPr>
        <w:t xml:space="preserve"> ID</w:t>
      </w:r>
      <w:r w:rsidR="0054729A">
        <w:rPr>
          <w:b/>
          <w:u w:val="single"/>
        </w:rPr>
        <w:t xml:space="preserve"> (s)</w:t>
      </w:r>
    </w:p>
    <w:p w14:paraId="498E0027" w14:textId="5620E5BA" w:rsidR="00851A4E" w:rsidRPr="00F83027" w:rsidRDefault="00F8280F" w:rsidP="00F8280F">
      <w:pPr>
        <w:rPr>
          <w:szCs w:val="20"/>
        </w:rPr>
      </w:pPr>
      <w:r>
        <w:rPr>
          <w:szCs w:val="20"/>
        </w:rPr>
        <w:t xml:space="preserve">In RAN1#94bis it was agreed that </w:t>
      </w:r>
      <w:r w:rsidR="00550ABD" w:rsidRPr="00F83027">
        <w:rPr>
          <w:rFonts w:hint="eastAsia"/>
          <w:szCs w:val="20"/>
        </w:rPr>
        <w:t>Layer-1 destination ID is conveyed via PSCCH</w:t>
      </w:r>
      <w:r>
        <w:rPr>
          <w:szCs w:val="20"/>
        </w:rPr>
        <w:t>, FFS other layer-1 ID(s</w:t>
      </w:r>
      <w:r>
        <w:rPr>
          <w:rFonts w:hint="eastAsia"/>
          <w:szCs w:val="20"/>
        </w:rPr>
        <w:t xml:space="preserve">) </w:t>
      </w:r>
      <w:r w:rsidR="00550ABD">
        <w:rPr>
          <w:szCs w:val="20"/>
        </w:rPr>
        <w:fldChar w:fldCharType="begin"/>
      </w:r>
      <w:r w:rsidR="00550ABD">
        <w:rPr>
          <w:szCs w:val="20"/>
        </w:rPr>
        <w:instrText xml:space="preserve"> </w:instrText>
      </w:r>
      <w:r w:rsidR="00550ABD">
        <w:rPr>
          <w:rFonts w:hint="eastAsia"/>
          <w:szCs w:val="20"/>
        </w:rPr>
        <w:instrText>REF _Ref534823951 \r \h</w:instrText>
      </w:r>
      <w:r w:rsidR="00550ABD">
        <w:rPr>
          <w:szCs w:val="20"/>
        </w:rPr>
        <w:instrText xml:space="preserve"> </w:instrText>
      </w:r>
      <w:r w:rsidR="00550ABD">
        <w:rPr>
          <w:szCs w:val="20"/>
        </w:rPr>
      </w:r>
      <w:r w:rsidR="00550ABD">
        <w:rPr>
          <w:szCs w:val="20"/>
        </w:rPr>
        <w:fldChar w:fldCharType="separate"/>
      </w:r>
      <w:r w:rsidR="00550ABD">
        <w:rPr>
          <w:szCs w:val="20"/>
        </w:rPr>
        <w:t>[3]</w:t>
      </w:r>
      <w:r w:rsidR="00550ABD">
        <w:rPr>
          <w:szCs w:val="20"/>
        </w:rPr>
        <w:fldChar w:fldCharType="end"/>
      </w:r>
      <w:r w:rsidR="00550ABD" w:rsidRPr="00F83027">
        <w:rPr>
          <w:rFonts w:hint="eastAsia"/>
          <w:szCs w:val="20"/>
        </w:rPr>
        <w:t>.</w:t>
      </w:r>
      <w:r w:rsidR="003C5598">
        <w:rPr>
          <w:szCs w:val="20"/>
        </w:rPr>
        <w:t xml:space="preserve"> </w:t>
      </w:r>
      <w:r w:rsidR="00786DFB">
        <w:rPr>
          <w:szCs w:val="20"/>
        </w:rPr>
        <w:t xml:space="preserve">HARQ process ID should be including in the SCI to enable combination at the receiver. In case of one UE can have more than one unicast or groupcast sessions, as shown in Figure 1, additional Layer-1 ID is needed to identify </w:t>
      </w:r>
      <w:r w:rsidR="00C27DD0">
        <w:rPr>
          <w:szCs w:val="20"/>
        </w:rPr>
        <w:t xml:space="preserve">different </w:t>
      </w:r>
      <w:r w:rsidR="00B54580">
        <w:rPr>
          <w:szCs w:val="20"/>
        </w:rPr>
        <w:t xml:space="preserve">unicast/groupcast </w:t>
      </w:r>
      <w:r w:rsidR="00C27DD0">
        <w:rPr>
          <w:szCs w:val="20"/>
        </w:rPr>
        <w:t xml:space="preserve">links.  However, it is questionable if Source ID can </w:t>
      </w:r>
      <w:r w:rsidR="003E4C90">
        <w:rPr>
          <w:szCs w:val="20"/>
        </w:rPr>
        <w:t>be used for</w:t>
      </w:r>
      <w:r w:rsidR="00C27DD0">
        <w:rPr>
          <w:szCs w:val="20"/>
        </w:rPr>
        <w:t xml:space="preserve"> </w:t>
      </w:r>
      <w:r w:rsidR="00B54580">
        <w:rPr>
          <w:szCs w:val="20"/>
        </w:rPr>
        <w:t xml:space="preserve">this </w:t>
      </w:r>
      <w:r w:rsidR="00C27DD0">
        <w:rPr>
          <w:szCs w:val="20"/>
        </w:rPr>
        <w:t>purpose</w:t>
      </w:r>
      <w:r w:rsidR="003E4C90">
        <w:rPr>
          <w:szCs w:val="20"/>
        </w:rPr>
        <w:t xml:space="preserve"> before the size of layer-1 source ID is decided</w:t>
      </w:r>
      <w:r w:rsidR="00C27DD0">
        <w:rPr>
          <w:szCs w:val="20"/>
        </w:rPr>
        <w:t xml:space="preserve">. </w:t>
      </w:r>
      <w:r w:rsidR="003E4C90">
        <w:rPr>
          <w:szCs w:val="20"/>
        </w:rPr>
        <w:t>Since t</w:t>
      </w:r>
      <w:r w:rsidR="00851A4E">
        <w:rPr>
          <w:szCs w:val="20"/>
        </w:rPr>
        <w:t>he</w:t>
      </w:r>
      <w:r w:rsidR="00C27DD0">
        <w:rPr>
          <w:szCs w:val="20"/>
        </w:rPr>
        <w:t xml:space="preserve"> Source ID used in layer-1 </w:t>
      </w:r>
      <w:r w:rsidR="003E4C90">
        <w:rPr>
          <w:szCs w:val="20"/>
        </w:rPr>
        <w:t>may be a portion (e.g. some</w:t>
      </w:r>
      <w:r w:rsidR="00851A4E">
        <w:rPr>
          <w:szCs w:val="20"/>
        </w:rPr>
        <w:t xml:space="preserve"> LSBs</w:t>
      </w:r>
      <w:r w:rsidR="003E4C90">
        <w:rPr>
          <w:szCs w:val="20"/>
        </w:rPr>
        <w:t>) of</w:t>
      </w:r>
      <w:r w:rsidR="00851A4E">
        <w:rPr>
          <w:szCs w:val="20"/>
        </w:rPr>
        <w:t xml:space="preserve"> </w:t>
      </w:r>
      <w:r w:rsidR="00C27DD0">
        <w:rPr>
          <w:szCs w:val="20"/>
        </w:rPr>
        <w:t xml:space="preserve">Source ID provided </w:t>
      </w:r>
      <w:r w:rsidR="00851A4E">
        <w:rPr>
          <w:szCs w:val="20"/>
        </w:rPr>
        <w:t xml:space="preserve">by higher layer, </w:t>
      </w:r>
      <w:r w:rsidR="003E4C90">
        <w:rPr>
          <w:szCs w:val="20"/>
        </w:rPr>
        <w:t xml:space="preserve">if the size of the layer-1 source ID is small, </w:t>
      </w:r>
      <w:r w:rsidR="00851A4E">
        <w:rPr>
          <w:szCs w:val="20"/>
        </w:rPr>
        <w:t xml:space="preserve">the possibility of source ID collision (i.e. multiple transmitters using same Layer-1 source ID) may be not trivial. </w:t>
      </w:r>
    </w:p>
    <w:p w14:paraId="60147962" w14:textId="43599F85" w:rsidR="00550ABD" w:rsidRDefault="00786DFB" w:rsidP="00786DFB">
      <w:pPr>
        <w:spacing w:before="240" w:after="120"/>
        <w:jc w:val="center"/>
      </w:pPr>
      <w:r>
        <w:object w:dxaOrig="6431" w:dyaOrig="3610" w14:anchorId="73B6DB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85pt;height:131.5pt" o:ole="">
            <v:imagedata r:id="rId8" o:title=""/>
          </v:shape>
          <o:OLEObject Type="Embed" ProgID="Visio.Drawing.15" ShapeID="_x0000_i1025" DrawAspect="Content" ObjectID="_1608719232" r:id="rId9"/>
        </w:object>
      </w:r>
    </w:p>
    <w:p w14:paraId="2EF47505" w14:textId="02301092" w:rsidR="00786DFB" w:rsidRPr="00C36D8C" w:rsidRDefault="00786DFB" w:rsidP="00786DFB">
      <w:pPr>
        <w:spacing w:before="120" w:after="240"/>
        <w:jc w:val="center"/>
        <w:rPr>
          <w:b/>
          <w:sz w:val="22"/>
          <w:szCs w:val="22"/>
        </w:rPr>
      </w:pPr>
      <w:r w:rsidRPr="00727968">
        <w:rPr>
          <w:b/>
          <w:sz w:val="22"/>
          <w:szCs w:val="22"/>
        </w:rPr>
        <w:t xml:space="preserve">Figure </w:t>
      </w:r>
      <w:r>
        <w:rPr>
          <w:b/>
          <w:sz w:val="22"/>
          <w:szCs w:val="22"/>
        </w:rPr>
        <w:t>1</w:t>
      </w:r>
      <w:r w:rsidRPr="00727968">
        <w:rPr>
          <w:b/>
          <w:sz w:val="22"/>
          <w:szCs w:val="22"/>
        </w:rPr>
        <w:t xml:space="preserve"> </w:t>
      </w:r>
      <w:r>
        <w:rPr>
          <w:b/>
          <w:sz w:val="22"/>
          <w:szCs w:val="22"/>
        </w:rPr>
        <w:t>One receiver having 2 unicast links simultaneously</w:t>
      </w:r>
    </w:p>
    <w:p w14:paraId="6DEC0746" w14:textId="6EC2DE35" w:rsidR="004E4009" w:rsidRPr="006055AB" w:rsidRDefault="004E4009" w:rsidP="004E4009">
      <w:pPr>
        <w:spacing w:after="120"/>
        <w:jc w:val="both"/>
        <w:rPr>
          <w:b/>
          <w:i/>
          <w:sz w:val="22"/>
          <w:szCs w:val="22"/>
        </w:rPr>
      </w:pPr>
      <w:r w:rsidRPr="006055AB">
        <w:rPr>
          <w:b/>
          <w:i/>
          <w:sz w:val="22"/>
          <w:szCs w:val="22"/>
        </w:rPr>
        <w:t xml:space="preserve">Proposal </w:t>
      </w:r>
      <w:r>
        <w:rPr>
          <w:b/>
          <w:i/>
          <w:sz w:val="22"/>
          <w:szCs w:val="22"/>
        </w:rPr>
        <w:t>2</w:t>
      </w:r>
      <w:r w:rsidRPr="006055AB">
        <w:rPr>
          <w:b/>
          <w:i/>
          <w:sz w:val="22"/>
          <w:szCs w:val="22"/>
        </w:rPr>
        <w:t xml:space="preserve">: </w:t>
      </w:r>
    </w:p>
    <w:p w14:paraId="12E0088F" w14:textId="1E24DF7A" w:rsidR="004E4009" w:rsidRDefault="004E4009" w:rsidP="004E4009">
      <w:pPr>
        <w:pStyle w:val="a5"/>
        <w:numPr>
          <w:ilvl w:val="0"/>
          <w:numId w:val="3"/>
        </w:numPr>
        <w:jc w:val="both"/>
        <w:rPr>
          <w:rFonts w:ascii="Times New Roman" w:hAnsi="Times New Roman"/>
          <w:b/>
          <w:i/>
        </w:rPr>
      </w:pPr>
      <w:r>
        <w:rPr>
          <w:rFonts w:ascii="Times New Roman" w:hAnsi="Times New Roman"/>
          <w:b/>
          <w:i/>
        </w:rPr>
        <w:t>HARQ process ID should be conveyed via PSCCH;</w:t>
      </w:r>
    </w:p>
    <w:p w14:paraId="2E12A885" w14:textId="02D56891" w:rsidR="004E4009" w:rsidRDefault="004E4009" w:rsidP="004E4009">
      <w:pPr>
        <w:pStyle w:val="a5"/>
        <w:numPr>
          <w:ilvl w:val="0"/>
          <w:numId w:val="3"/>
        </w:numPr>
        <w:jc w:val="both"/>
        <w:rPr>
          <w:rFonts w:ascii="Times New Roman" w:hAnsi="Times New Roman"/>
          <w:b/>
          <w:i/>
        </w:rPr>
      </w:pPr>
      <w:r>
        <w:rPr>
          <w:rFonts w:ascii="Times New Roman" w:hAnsi="Times New Roman"/>
          <w:b/>
          <w:i/>
        </w:rPr>
        <w:t>FFS if layer-1 source ID should be</w:t>
      </w:r>
      <w:r w:rsidR="00B54580">
        <w:rPr>
          <w:rFonts w:ascii="Times New Roman" w:hAnsi="Times New Roman"/>
          <w:b/>
          <w:i/>
        </w:rPr>
        <w:t xml:space="preserve"> conveyed via PSCCH for unicast/</w:t>
      </w:r>
      <w:r w:rsidR="00DA0189">
        <w:rPr>
          <w:rFonts w:ascii="Times New Roman" w:hAnsi="Times New Roman"/>
          <w:b/>
          <w:i/>
        </w:rPr>
        <w:t>groupcast link identification.</w:t>
      </w:r>
    </w:p>
    <w:p w14:paraId="60498802" w14:textId="77777777" w:rsidR="00786DFB" w:rsidRPr="004E4009" w:rsidRDefault="00786DFB" w:rsidP="004E4009">
      <w:pPr>
        <w:spacing w:before="240" w:after="120"/>
        <w:rPr>
          <w:b/>
          <w:sz w:val="22"/>
          <w:szCs w:val="22"/>
          <w:u w:val="single"/>
          <w:lang w:val="en-AU"/>
        </w:rPr>
      </w:pPr>
    </w:p>
    <w:p w14:paraId="260FC3CB" w14:textId="5AF0B9CB" w:rsidR="009E4501" w:rsidRPr="00BA072C" w:rsidRDefault="009E4501" w:rsidP="009E4501">
      <w:pPr>
        <w:spacing w:before="240" w:after="120"/>
        <w:jc w:val="both"/>
        <w:rPr>
          <w:b/>
          <w:sz w:val="22"/>
          <w:szCs w:val="22"/>
          <w:u w:val="single"/>
        </w:rPr>
      </w:pPr>
      <w:r>
        <w:rPr>
          <w:b/>
          <w:sz w:val="22"/>
          <w:szCs w:val="22"/>
          <w:u w:val="single"/>
        </w:rPr>
        <w:t xml:space="preserve">Sidelink </w:t>
      </w:r>
      <w:r w:rsidRPr="00BA072C">
        <w:rPr>
          <w:b/>
          <w:sz w:val="22"/>
          <w:szCs w:val="22"/>
          <w:u w:val="single"/>
        </w:rPr>
        <w:t xml:space="preserve">CSI </w:t>
      </w:r>
    </w:p>
    <w:p w14:paraId="62EA37CA" w14:textId="096972AB" w:rsidR="009E4501" w:rsidRPr="006055AB" w:rsidRDefault="009E4501" w:rsidP="009E4501">
      <w:pPr>
        <w:jc w:val="both"/>
        <w:rPr>
          <w:sz w:val="22"/>
          <w:szCs w:val="22"/>
        </w:rPr>
      </w:pPr>
      <w:r>
        <w:rPr>
          <w:sz w:val="22"/>
          <w:szCs w:val="22"/>
        </w:rPr>
        <w:t xml:space="preserve">CQI can reflect the channel condition between transmitter and receiver as well as the interference level at the receiver, this information is necessary for link adaption.  As interference level at the transmitter and receiver may be independent, CQI feedback (rather than estimated based on reciprocity) for sidelink is desirable to be supported for both sidelink unicast and groupcast. </w:t>
      </w:r>
      <w:r w:rsidR="00ED6118">
        <w:rPr>
          <w:sz w:val="22"/>
          <w:szCs w:val="22"/>
        </w:rPr>
        <w:t>In order to track the fast varying channel</w:t>
      </w:r>
      <w:r w:rsidR="00AF2DE0">
        <w:rPr>
          <w:rFonts w:hint="eastAsia"/>
          <w:sz w:val="22"/>
          <w:szCs w:val="22"/>
        </w:rPr>
        <w:t xml:space="preserve">, CQI </w:t>
      </w:r>
      <w:r w:rsidR="00AF2DE0">
        <w:rPr>
          <w:sz w:val="22"/>
          <w:szCs w:val="22"/>
        </w:rPr>
        <w:t>should</w:t>
      </w:r>
      <w:r w:rsidR="00AF2DE0">
        <w:rPr>
          <w:rFonts w:hint="eastAsia"/>
          <w:sz w:val="22"/>
          <w:szCs w:val="22"/>
        </w:rPr>
        <w:t xml:space="preserve"> </w:t>
      </w:r>
      <w:r w:rsidR="00AF2DE0">
        <w:rPr>
          <w:sz w:val="22"/>
          <w:szCs w:val="22"/>
        </w:rPr>
        <w:t xml:space="preserve">be considered as one part of SFCI and to be conveyed via </w:t>
      </w:r>
      <w:r w:rsidR="00550ABD">
        <w:rPr>
          <w:sz w:val="22"/>
          <w:szCs w:val="22"/>
        </w:rPr>
        <w:t>PSFCH</w:t>
      </w:r>
      <w:r w:rsidR="00AF2DE0">
        <w:rPr>
          <w:sz w:val="22"/>
          <w:szCs w:val="22"/>
        </w:rPr>
        <w:t xml:space="preserve">. </w:t>
      </w:r>
      <w:r w:rsidR="00262FCA">
        <w:rPr>
          <w:sz w:val="22"/>
          <w:szCs w:val="22"/>
        </w:rPr>
        <w:t xml:space="preserve">PMI and RI are necessary for support of spatial multiplexing, to manage the unicast/groupcast link, RSRP is also useful, however, these information </w:t>
      </w:r>
      <w:r w:rsidR="00CA5784">
        <w:rPr>
          <w:sz w:val="22"/>
          <w:szCs w:val="22"/>
        </w:rPr>
        <w:t>are possible to be estimated based on channel reciprocity.</w:t>
      </w:r>
    </w:p>
    <w:p w14:paraId="4E6B3A71" w14:textId="207498B9" w:rsidR="009E4501" w:rsidRPr="006055AB" w:rsidRDefault="009E4501" w:rsidP="009E4501">
      <w:pPr>
        <w:spacing w:before="240" w:after="60"/>
        <w:jc w:val="both"/>
        <w:rPr>
          <w:b/>
          <w:i/>
          <w:sz w:val="22"/>
          <w:szCs w:val="22"/>
        </w:rPr>
      </w:pPr>
      <w:r w:rsidRPr="006055AB">
        <w:rPr>
          <w:b/>
          <w:i/>
          <w:sz w:val="22"/>
          <w:szCs w:val="22"/>
        </w:rPr>
        <w:t xml:space="preserve">Proposal </w:t>
      </w:r>
      <w:r w:rsidR="000A5D10">
        <w:rPr>
          <w:b/>
          <w:i/>
          <w:sz w:val="22"/>
          <w:szCs w:val="22"/>
        </w:rPr>
        <w:t>3</w:t>
      </w:r>
      <w:r w:rsidRPr="006055AB">
        <w:rPr>
          <w:b/>
          <w:i/>
          <w:sz w:val="22"/>
          <w:szCs w:val="22"/>
        </w:rPr>
        <w:t xml:space="preserve">: </w:t>
      </w:r>
    </w:p>
    <w:p w14:paraId="02ADD6C6" w14:textId="7ECFEBD5" w:rsidR="009E4501" w:rsidRDefault="00FB4128" w:rsidP="009E4501">
      <w:pPr>
        <w:pStyle w:val="a5"/>
        <w:numPr>
          <w:ilvl w:val="0"/>
          <w:numId w:val="4"/>
        </w:numPr>
        <w:jc w:val="both"/>
        <w:rPr>
          <w:rFonts w:ascii="Times New Roman" w:hAnsi="Times New Roman"/>
          <w:b/>
          <w:i/>
        </w:rPr>
      </w:pPr>
      <w:r>
        <w:rPr>
          <w:rFonts w:ascii="Times New Roman" w:hAnsi="Times New Roman"/>
          <w:b/>
          <w:i/>
        </w:rPr>
        <w:t xml:space="preserve">Sidelink CQI feedback should be support for </w:t>
      </w:r>
      <w:r w:rsidR="00006652">
        <w:rPr>
          <w:rFonts w:ascii="Times New Roman" w:hAnsi="Times New Roman"/>
          <w:b/>
          <w:i/>
        </w:rPr>
        <w:t xml:space="preserve">unicast and groupcast on </w:t>
      </w:r>
      <w:r>
        <w:rPr>
          <w:rFonts w:ascii="Times New Roman" w:hAnsi="Times New Roman"/>
          <w:b/>
          <w:i/>
        </w:rPr>
        <w:t>NR sidelink</w:t>
      </w:r>
      <w:r w:rsidR="00681BB2">
        <w:rPr>
          <w:rFonts w:ascii="Times New Roman" w:hAnsi="Times New Roman"/>
          <w:b/>
          <w:i/>
        </w:rPr>
        <w:t>.</w:t>
      </w:r>
    </w:p>
    <w:p w14:paraId="60177917" w14:textId="08F77F0E" w:rsidR="00602684" w:rsidRPr="00BA072C" w:rsidRDefault="00BA072C" w:rsidP="005D0863">
      <w:pPr>
        <w:spacing w:before="240" w:after="120"/>
        <w:jc w:val="both"/>
        <w:rPr>
          <w:b/>
          <w:u w:val="single"/>
        </w:rPr>
      </w:pPr>
      <w:r w:rsidRPr="00BA072C">
        <w:rPr>
          <w:b/>
          <w:u w:val="single"/>
        </w:rPr>
        <w:t>Open loop and/or closed-loop power control</w:t>
      </w:r>
    </w:p>
    <w:p w14:paraId="34624B1F" w14:textId="00707CB0" w:rsidR="000B23BE" w:rsidRDefault="00045E57" w:rsidP="00045E57">
      <w:pPr>
        <w:jc w:val="both"/>
        <w:rPr>
          <w:sz w:val="22"/>
          <w:szCs w:val="22"/>
        </w:rPr>
      </w:pPr>
      <w:r>
        <w:rPr>
          <w:sz w:val="22"/>
          <w:szCs w:val="22"/>
        </w:rPr>
        <w:t>In LTE V2X, transmission power of a UE may be subject to open loop power control mechanisms with power control parameters configured by eNB or pre-configured. In the mechanism, the</w:t>
      </w:r>
      <w:r w:rsidRPr="00045E57">
        <w:rPr>
          <w:sz w:val="22"/>
          <w:szCs w:val="22"/>
        </w:rPr>
        <w:t xml:space="preserve"> pathloss between the </w:t>
      </w:r>
      <w:r>
        <w:rPr>
          <w:sz w:val="22"/>
          <w:szCs w:val="22"/>
        </w:rPr>
        <w:t>UE and the eNB (rather than the pathloss on sidelink)</w:t>
      </w:r>
      <w:r w:rsidRPr="00045E57">
        <w:rPr>
          <w:sz w:val="22"/>
          <w:szCs w:val="22"/>
        </w:rPr>
        <w:t xml:space="preserve"> </w:t>
      </w:r>
      <w:r>
        <w:rPr>
          <w:sz w:val="22"/>
          <w:szCs w:val="22"/>
        </w:rPr>
        <w:t xml:space="preserve">is used to calculate the transmission power, which is helpful to control the interference to </w:t>
      </w:r>
      <w:r w:rsidRPr="00045E57">
        <w:rPr>
          <w:sz w:val="22"/>
          <w:szCs w:val="22"/>
        </w:rPr>
        <w:t xml:space="preserve">cellular uplink </w:t>
      </w:r>
      <w:r w:rsidR="007F0F6A">
        <w:rPr>
          <w:sz w:val="22"/>
          <w:szCs w:val="22"/>
        </w:rPr>
        <w:t>reception</w:t>
      </w:r>
      <w:r w:rsidRPr="00045E57">
        <w:rPr>
          <w:sz w:val="22"/>
          <w:szCs w:val="22"/>
        </w:rPr>
        <w:t xml:space="preserve">. </w:t>
      </w:r>
      <w:r w:rsidR="000B23BE">
        <w:rPr>
          <w:sz w:val="22"/>
          <w:szCs w:val="22"/>
        </w:rPr>
        <w:t xml:space="preserve">As NR V2X is possible to coexist with Uu in same carrier or adjacent carriers, such power control mechanism can be reused in NR V2X. </w:t>
      </w:r>
    </w:p>
    <w:p w14:paraId="2931F30D" w14:textId="77777777" w:rsidR="000B23BE" w:rsidRDefault="000B23BE" w:rsidP="00045E57">
      <w:pPr>
        <w:jc w:val="both"/>
        <w:rPr>
          <w:sz w:val="22"/>
          <w:szCs w:val="22"/>
        </w:rPr>
      </w:pPr>
    </w:p>
    <w:p w14:paraId="169087BD" w14:textId="2189D9D7" w:rsidR="00045E57" w:rsidRDefault="000B23BE" w:rsidP="00045E57">
      <w:pPr>
        <w:jc w:val="both"/>
        <w:rPr>
          <w:sz w:val="22"/>
          <w:szCs w:val="22"/>
        </w:rPr>
      </w:pPr>
      <w:r>
        <w:rPr>
          <w:sz w:val="22"/>
          <w:szCs w:val="22"/>
        </w:rPr>
        <w:t>However, this power control mechanism has</w:t>
      </w:r>
      <w:r w:rsidR="00045E57" w:rsidRPr="00045E57">
        <w:rPr>
          <w:sz w:val="22"/>
          <w:szCs w:val="22"/>
        </w:rPr>
        <w:t xml:space="preserve"> not taken link budget of a sidelink into consideration, and cannot </w:t>
      </w:r>
      <w:r>
        <w:rPr>
          <w:sz w:val="22"/>
          <w:szCs w:val="22"/>
        </w:rPr>
        <w:t>guarantee</w:t>
      </w:r>
      <w:r w:rsidR="00045E57" w:rsidRPr="00045E57">
        <w:rPr>
          <w:sz w:val="22"/>
          <w:szCs w:val="22"/>
        </w:rPr>
        <w:t xml:space="preserve"> optimal sidelink transmission </w:t>
      </w:r>
      <w:r>
        <w:rPr>
          <w:sz w:val="22"/>
          <w:szCs w:val="22"/>
        </w:rPr>
        <w:t xml:space="preserve">power. E.g. in </w:t>
      </w:r>
      <w:r w:rsidR="00B54580">
        <w:rPr>
          <w:sz w:val="22"/>
          <w:szCs w:val="22"/>
        </w:rPr>
        <w:t>some</w:t>
      </w:r>
      <w:r>
        <w:rPr>
          <w:sz w:val="22"/>
          <w:szCs w:val="22"/>
        </w:rPr>
        <w:t xml:space="preserve"> unicast and groupcast use cases, the transmitter and receiver may be </w:t>
      </w:r>
      <w:r w:rsidR="00047038">
        <w:rPr>
          <w:sz w:val="22"/>
          <w:szCs w:val="22"/>
        </w:rPr>
        <w:t xml:space="preserve">very </w:t>
      </w:r>
      <w:r>
        <w:rPr>
          <w:sz w:val="22"/>
          <w:szCs w:val="22"/>
        </w:rPr>
        <w:t>close to each other, low</w:t>
      </w:r>
      <w:r w:rsidR="00047038">
        <w:rPr>
          <w:sz w:val="22"/>
          <w:szCs w:val="22"/>
        </w:rPr>
        <w:t>er transmission power may suffice for reliable reception, higher transmission power may cause more serious interference and impair the entire system. Hence, the receiving UE should be able to further contro</w:t>
      </w:r>
      <w:r w:rsidR="001E6823">
        <w:rPr>
          <w:sz w:val="22"/>
          <w:szCs w:val="22"/>
        </w:rPr>
        <w:t>l the power of transmitting UE such that the transmission power can be adapted to the sidelink status. In particular, the receiving UE can provide open loop power control parameters semi-statically to the transmitting UE to set the basic transmission power, and adjust the transmission power dynamically via p</w:t>
      </w:r>
      <w:r w:rsidR="007F0F6A">
        <w:rPr>
          <w:sz w:val="22"/>
          <w:szCs w:val="22"/>
        </w:rPr>
        <w:t>ower control command</w:t>
      </w:r>
      <w:r w:rsidR="001E6823">
        <w:rPr>
          <w:sz w:val="22"/>
          <w:szCs w:val="22"/>
        </w:rPr>
        <w:t xml:space="preserve">. </w:t>
      </w:r>
    </w:p>
    <w:p w14:paraId="299C8650" w14:textId="56F7295F" w:rsidR="00192683" w:rsidRPr="006055AB" w:rsidRDefault="00192683" w:rsidP="00192683">
      <w:pPr>
        <w:spacing w:before="240" w:after="60"/>
        <w:jc w:val="both"/>
        <w:rPr>
          <w:b/>
          <w:i/>
          <w:sz w:val="22"/>
          <w:szCs w:val="22"/>
        </w:rPr>
      </w:pPr>
      <w:r w:rsidRPr="006055AB">
        <w:rPr>
          <w:b/>
          <w:i/>
          <w:sz w:val="22"/>
          <w:szCs w:val="22"/>
        </w:rPr>
        <w:t xml:space="preserve">Proposal </w:t>
      </w:r>
      <w:r w:rsidR="000A5D10">
        <w:rPr>
          <w:b/>
          <w:i/>
          <w:sz w:val="22"/>
          <w:szCs w:val="22"/>
        </w:rPr>
        <w:t>4</w:t>
      </w:r>
      <w:r w:rsidRPr="006055AB">
        <w:rPr>
          <w:b/>
          <w:i/>
          <w:sz w:val="22"/>
          <w:szCs w:val="22"/>
        </w:rPr>
        <w:t xml:space="preserve">: </w:t>
      </w:r>
    </w:p>
    <w:p w14:paraId="74D978AF" w14:textId="77777777" w:rsidR="00192683" w:rsidRDefault="00192683" w:rsidP="00192683">
      <w:pPr>
        <w:pStyle w:val="a5"/>
        <w:numPr>
          <w:ilvl w:val="0"/>
          <w:numId w:val="4"/>
        </w:numPr>
        <w:jc w:val="both"/>
        <w:rPr>
          <w:rFonts w:ascii="Times New Roman" w:hAnsi="Times New Roman"/>
          <w:b/>
          <w:i/>
        </w:rPr>
      </w:pPr>
      <w:r>
        <w:rPr>
          <w:rFonts w:ascii="Times New Roman" w:hAnsi="Times New Roman"/>
          <w:b/>
          <w:i/>
        </w:rPr>
        <w:t>Open loop power control mechanism in LTE V2X should be reused for NR V2X</w:t>
      </w:r>
      <w:r w:rsidRPr="006055AB">
        <w:rPr>
          <w:rFonts w:ascii="Times New Roman" w:hAnsi="Times New Roman"/>
          <w:b/>
          <w:i/>
        </w:rPr>
        <w:t>;</w:t>
      </w:r>
    </w:p>
    <w:p w14:paraId="4B6B01AF" w14:textId="61B7A8C7" w:rsidR="00192683" w:rsidRPr="00B42678" w:rsidRDefault="0054593B" w:rsidP="00045E57">
      <w:pPr>
        <w:pStyle w:val="a5"/>
        <w:numPr>
          <w:ilvl w:val="0"/>
          <w:numId w:val="4"/>
        </w:numPr>
        <w:jc w:val="both"/>
        <w:rPr>
          <w:rFonts w:ascii="Times New Roman" w:hAnsi="Times New Roman"/>
          <w:b/>
          <w:i/>
        </w:rPr>
      </w:pPr>
      <w:r>
        <w:rPr>
          <w:rFonts w:ascii="Times New Roman" w:hAnsi="Times New Roman"/>
          <w:b/>
          <w:i/>
        </w:rPr>
        <w:t>Define a sidelink</w:t>
      </w:r>
      <w:r w:rsidR="00192683">
        <w:rPr>
          <w:rFonts w:ascii="Times New Roman" w:hAnsi="Times New Roman"/>
          <w:b/>
          <w:i/>
        </w:rPr>
        <w:t xml:space="preserve"> power control mechanism to enable the receiving UE to control the power of transmitting UE.</w:t>
      </w:r>
      <w:r w:rsidR="00192683" w:rsidRPr="006055AB">
        <w:rPr>
          <w:rFonts w:ascii="Times New Roman" w:hAnsi="Times New Roman"/>
          <w:b/>
          <w:i/>
        </w:rPr>
        <w:t xml:space="preserve"> </w:t>
      </w:r>
    </w:p>
    <w:p w14:paraId="7A1A11B7" w14:textId="240EA8F1" w:rsidR="00192683" w:rsidRDefault="00192683" w:rsidP="00192683">
      <w:pPr>
        <w:spacing w:before="240" w:after="120"/>
        <w:jc w:val="both"/>
        <w:rPr>
          <w:b/>
          <w:u w:val="single"/>
        </w:rPr>
      </w:pPr>
      <w:r>
        <w:rPr>
          <w:rFonts w:hint="eastAsia"/>
          <w:b/>
          <w:u w:val="single"/>
        </w:rPr>
        <w:t>SFCI</w:t>
      </w:r>
      <w:r>
        <w:rPr>
          <w:b/>
          <w:u w:val="single"/>
        </w:rPr>
        <w:t xml:space="preserve"> </w:t>
      </w:r>
      <w:r>
        <w:rPr>
          <w:rFonts w:hint="eastAsia"/>
          <w:b/>
          <w:u w:val="single"/>
        </w:rPr>
        <w:t>feed</w:t>
      </w:r>
      <w:r>
        <w:rPr>
          <w:b/>
          <w:u w:val="single"/>
        </w:rPr>
        <w:t>back</w:t>
      </w:r>
    </w:p>
    <w:p w14:paraId="0EB9F43B" w14:textId="45DE45F4" w:rsidR="00192683" w:rsidRDefault="009B0705" w:rsidP="00192683">
      <w:pPr>
        <w:jc w:val="both"/>
        <w:rPr>
          <w:sz w:val="22"/>
          <w:szCs w:val="22"/>
        </w:rPr>
      </w:pPr>
      <w:r>
        <w:rPr>
          <w:sz w:val="22"/>
          <w:szCs w:val="22"/>
        </w:rPr>
        <w:t>In addition to HARQ-ACK information, more SFCI format</w:t>
      </w:r>
      <w:r w:rsidR="00D358DA">
        <w:rPr>
          <w:sz w:val="22"/>
          <w:szCs w:val="22"/>
        </w:rPr>
        <w:t>s</w:t>
      </w:r>
      <w:r>
        <w:rPr>
          <w:sz w:val="22"/>
          <w:szCs w:val="22"/>
        </w:rPr>
        <w:t xml:space="preserve"> </w:t>
      </w:r>
      <w:r w:rsidR="00D358DA">
        <w:rPr>
          <w:sz w:val="22"/>
          <w:szCs w:val="22"/>
        </w:rPr>
        <w:t>are</w:t>
      </w:r>
      <w:r>
        <w:rPr>
          <w:sz w:val="22"/>
          <w:szCs w:val="22"/>
        </w:rPr>
        <w:t xml:space="preserve"> necessary to also include</w:t>
      </w:r>
      <w:r w:rsidR="006A565B">
        <w:rPr>
          <w:sz w:val="22"/>
          <w:szCs w:val="22"/>
        </w:rPr>
        <w:t xml:space="preserve"> C</w:t>
      </w:r>
      <w:r w:rsidR="000B53F8">
        <w:rPr>
          <w:sz w:val="22"/>
          <w:szCs w:val="22"/>
        </w:rPr>
        <w:t>Q</w:t>
      </w:r>
      <w:r w:rsidR="006A565B">
        <w:rPr>
          <w:sz w:val="22"/>
          <w:szCs w:val="22"/>
        </w:rPr>
        <w:t>I, power control command, etc</w:t>
      </w:r>
      <w:r>
        <w:rPr>
          <w:sz w:val="22"/>
          <w:szCs w:val="22"/>
        </w:rPr>
        <w:t>.</w:t>
      </w:r>
    </w:p>
    <w:p w14:paraId="13EF58B2" w14:textId="77777777" w:rsidR="009B0705" w:rsidRDefault="009B0705" w:rsidP="00192683">
      <w:pPr>
        <w:jc w:val="both"/>
        <w:rPr>
          <w:sz w:val="22"/>
          <w:szCs w:val="22"/>
        </w:rPr>
      </w:pPr>
    </w:p>
    <w:p w14:paraId="5C1BF047" w14:textId="045D9466" w:rsidR="00CC1CCB" w:rsidRDefault="00192683" w:rsidP="00192683">
      <w:pPr>
        <w:jc w:val="both"/>
        <w:rPr>
          <w:sz w:val="22"/>
          <w:szCs w:val="22"/>
        </w:rPr>
      </w:pPr>
      <w:r>
        <w:rPr>
          <w:sz w:val="22"/>
          <w:szCs w:val="22"/>
        </w:rPr>
        <w:t>The physical resource for the sidelink feedback channel can be on sidelink</w:t>
      </w:r>
      <w:r w:rsidR="009B0705">
        <w:rPr>
          <w:sz w:val="22"/>
          <w:szCs w:val="22"/>
        </w:rPr>
        <w:t xml:space="preserve"> via PSFCH. I</w:t>
      </w:r>
      <w:r>
        <w:rPr>
          <w:sz w:val="22"/>
          <w:szCs w:val="22"/>
        </w:rPr>
        <w:t xml:space="preserve">n this case, the </w:t>
      </w:r>
      <w:r w:rsidR="009B0705">
        <w:rPr>
          <w:sz w:val="22"/>
          <w:szCs w:val="22"/>
        </w:rPr>
        <w:t xml:space="preserve">PSFCH </w:t>
      </w:r>
      <w:r>
        <w:rPr>
          <w:sz w:val="22"/>
          <w:szCs w:val="22"/>
        </w:rPr>
        <w:t xml:space="preserve">resource can be one-to-one associated with a PSCCH resource, i.e. after a UE transmits a PSCCH on one slot, it should monitor the corresponding physical resource for HARQ-ACK and other feedback information. </w:t>
      </w:r>
      <w:r w:rsidR="00D358DA">
        <w:rPr>
          <w:sz w:val="22"/>
          <w:szCs w:val="22"/>
        </w:rPr>
        <w:t>The PSFCH resource and the PSCCH resource should be allocated/selected as a whole i</w:t>
      </w:r>
      <w:r>
        <w:rPr>
          <w:sz w:val="22"/>
          <w:szCs w:val="22"/>
        </w:rPr>
        <w:t>n mode 1</w:t>
      </w:r>
      <w:r w:rsidR="00D358DA">
        <w:rPr>
          <w:sz w:val="22"/>
          <w:szCs w:val="22"/>
        </w:rPr>
        <w:t>/2</w:t>
      </w:r>
      <w:r>
        <w:rPr>
          <w:sz w:val="22"/>
          <w:szCs w:val="22"/>
        </w:rPr>
        <w:t xml:space="preserve">.  </w:t>
      </w:r>
    </w:p>
    <w:p w14:paraId="2125EF3A" w14:textId="77777777" w:rsidR="00CC1CCB" w:rsidRDefault="00CC1CCB" w:rsidP="00192683">
      <w:pPr>
        <w:jc w:val="both"/>
        <w:rPr>
          <w:sz w:val="22"/>
          <w:szCs w:val="22"/>
        </w:rPr>
      </w:pPr>
    </w:p>
    <w:p w14:paraId="54260939" w14:textId="4E4420D2" w:rsidR="00192683" w:rsidRDefault="00124646" w:rsidP="00192683">
      <w:pPr>
        <w:jc w:val="both"/>
        <w:rPr>
          <w:sz w:val="22"/>
          <w:szCs w:val="22"/>
        </w:rPr>
      </w:pPr>
      <w:r>
        <w:rPr>
          <w:sz w:val="22"/>
          <w:szCs w:val="22"/>
        </w:rPr>
        <w:t xml:space="preserve">In NR Uu up to 5 PUCCH formats are defined to accommodate UCI feedback with different latency, coverage, and capacity requirements. As the functionality of PSFCH is very similar as PUCCH, and PSFCH may also need to convey different SFCI size or support low latency SFCI feedback, it is desirable that PSFCH can have the same flexibility as PUCCH.  </w:t>
      </w:r>
      <w:r w:rsidR="004F67E7">
        <w:rPr>
          <w:sz w:val="22"/>
          <w:szCs w:val="22"/>
        </w:rPr>
        <w:t xml:space="preserve">However, sidelink reception at the receiver UE is based on the AGC settled at the first symbol of a slot, if PSFCH is started or stopped at the middle of a slot, additional time for AGC settling is needed. To avoid the issue and meanwhile guarantee the flexibility of PSFCH, a short PSFCH with repetition to occupy the whole slot can be considered (as shown in </w:t>
      </w:r>
      <w:r w:rsidR="004F67E7" w:rsidRPr="00786DFB">
        <w:rPr>
          <w:sz w:val="22"/>
          <w:szCs w:val="22"/>
        </w:rPr>
        <w:t xml:space="preserve">Figure </w:t>
      </w:r>
      <w:r w:rsidR="00786DFB" w:rsidRPr="00786DFB">
        <w:rPr>
          <w:sz w:val="22"/>
          <w:szCs w:val="22"/>
        </w:rPr>
        <w:t>2</w:t>
      </w:r>
      <w:r w:rsidR="004F67E7">
        <w:rPr>
          <w:sz w:val="22"/>
          <w:szCs w:val="22"/>
        </w:rPr>
        <w:t>).</w:t>
      </w:r>
    </w:p>
    <w:p w14:paraId="6C9C29F1" w14:textId="77777777" w:rsidR="006E5259" w:rsidRDefault="006E5259" w:rsidP="00192683">
      <w:pPr>
        <w:jc w:val="both"/>
        <w:rPr>
          <w:sz w:val="22"/>
          <w:szCs w:val="22"/>
        </w:rPr>
      </w:pPr>
    </w:p>
    <w:p w14:paraId="523CC4AC" w14:textId="595A35A1" w:rsidR="00192683" w:rsidRDefault="00C36D8C" w:rsidP="006E5259">
      <w:pPr>
        <w:jc w:val="center"/>
        <w:rPr>
          <w:sz w:val="22"/>
          <w:szCs w:val="22"/>
        </w:rPr>
      </w:pPr>
      <w:r>
        <w:rPr>
          <w:sz w:val="22"/>
          <w:szCs w:val="22"/>
        </w:rPr>
        <w:object w:dxaOrig="9431" w:dyaOrig="3191" w14:anchorId="094F4173">
          <v:shape id="_x0000_i1026" type="#_x0000_t75" style="width:428.25pt;height:144.95pt" o:ole="">
            <v:imagedata r:id="rId10" o:title=""/>
          </v:shape>
          <o:OLEObject Type="Embed" ProgID="Visio.Drawing.15" ShapeID="_x0000_i1026" DrawAspect="Content" ObjectID="_1608719233" r:id="rId11"/>
        </w:object>
      </w:r>
    </w:p>
    <w:p w14:paraId="74C857DF" w14:textId="2C6B81A6" w:rsidR="00C36D8C" w:rsidRPr="00C36D8C" w:rsidRDefault="00C36D8C" w:rsidP="00C36D8C">
      <w:pPr>
        <w:spacing w:before="120" w:after="240"/>
        <w:jc w:val="center"/>
        <w:rPr>
          <w:b/>
          <w:sz w:val="22"/>
          <w:szCs w:val="22"/>
        </w:rPr>
      </w:pPr>
      <w:bookmarkStart w:id="1" w:name="OLE_LINK1"/>
      <w:bookmarkStart w:id="2" w:name="OLE_LINK2"/>
      <w:r w:rsidRPr="00727968">
        <w:rPr>
          <w:b/>
          <w:sz w:val="22"/>
          <w:szCs w:val="22"/>
        </w:rPr>
        <w:t xml:space="preserve">Figure </w:t>
      </w:r>
      <w:r w:rsidR="00786DFB">
        <w:rPr>
          <w:b/>
          <w:sz w:val="22"/>
          <w:szCs w:val="22"/>
        </w:rPr>
        <w:t>2</w:t>
      </w:r>
      <w:r w:rsidRPr="00727968">
        <w:rPr>
          <w:b/>
          <w:sz w:val="22"/>
          <w:szCs w:val="22"/>
        </w:rPr>
        <w:t xml:space="preserve"> </w:t>
      </w:r>
      <w:r>
        <w:rPr>
          <w:b/>
          <w:sz w:val="22"/>
          <w:szCs w:val="22"/>
        </w:rPr>
        <w:t>Repeat PSFCH to occupy the whole slot to avoid additional AGC settling</w:t>
      </w:r>
    </w:p>
    <w:bookmarkEnd w:id="1"/>
    <w:bookmarkEnd w:id="2"/>
    <w:p w14:paraId="0051D11B" w14:textId="217AC27C" w:rsidR="00192683" w:rsidRDefault="00F10E0D" w:rsidP="00192683">
      <w:pPr>
        <w:jc w:val="both"/>
        <w:rPr>
          <w:sz w:val="22"/>
          <w:szCs w:val="22"/>
        </w:rPr>
      </w:pPr>
      <w:r>
        <w:rPr>
          <w:sz w:val="22"/>
          <w:szCs w:val="22"/>
        </w:rPr>
        <w:t>If</w:t>
      </w:r>
      <w:r w:rsidR="00192683">
        <w:rPr>
          <w:sz w:val="22"/>
          <w:szCs w:val="22"/>
        </w:rPr>
        <w:t xml:space="preserve"> both the transmitter and the receiver are in coverage and RRC connected state, </w:t>
      </w:r>
      <w:r w:rsidR="00B42173">
        <w:rPr>
          <w:sz w:val="22"/>
          <w:szCs w:val="22"/>
        </w:rPr>
        <w:t>SFCI can be directly fed back to the base station via uplink channel</w:t>
      </w:r>
      <w:r w:rsidR="00192683">
        <w:rPr>
          <w:sz w:val="22"/>
          <w:szCs w:val="22"/>
        </w:rPr>
        <w:t xml:space="preserve">, as shown in </w:t>
      </w:r>
      <w:r w:rsidR="00192683" w:rsidRPr="00786DFB">
        <w:rPr>
          <w:sz w:val="22"/>
          <w:szCs w:val="22"/>
        </w:rPr>
        <w:t xml:space="preserve">Figure </w:t>
      </w:r>
      <w:r w:rsidR="00786DFB" w:rsidRPr="00786DFB">
        <w:rPr>
          <w:sz w:val="22"/>
          <w:szCs w:val="22"/>
        </w:rPr>
        <w:t>3</w:t>
      </w:r>
      <w:r w:rsidR="00192683">
        <w:rPr>
          <w:sz w:val="22"/>
          <w:szCs w:val="22"/>
        </w:rPr>
        <w:t>.</w:t>
      </w:r>
      <w:r w:rsidR="00427E20">
        <w:rPr>
          <w:sz w:val="22"/>
          <w:szCs w:val="22"/>
        </w:rPr>
        <w:t xml:space="preserve"> Comparing to feeding back SFCI via PSFCH, t</w:t>
      </w:r>
      <w:r w:rsidR="00192683">
        <w:rPr>
          <w:sz w:val="22"/>
          <w:szCs w:val="22"/>
        </w:rPr>
        <w:t xml:space="preserve">his way can mitigate the half duplex constraints </w:t>
      </w:r>
      <w:r w:rsidR="00427E20">
        <w:rPr>
          <w:sz w:val="22"/>
          <w:szCs w:val="22"/>
        </w:rPr>
        <w:t xml:space="preserve">and resource overhead on sidelink. </w:t>
      </w:r>
      <w:r w:rsidR="00192683">
        <w:rPr>
          <w:sz w:val="22"/>
          <w:szCs w:val="22"/>
        </w:rPr>
        <w:t xml:space="preserve">Furthermore, in case of mode 1, as the base station can get the </w:t>
      </w:r>
      <w:r w:rsidR="0000036C">
        <w:rPr>
          <w:sz w:val="22"/>
          <w:szCs w:val="22"/>
        </w:rPr>
        <w:t>SFCI</w:t>
      </w:r>
      <w:r w:rsidR="00192683">
        <w:rPr>
          <w:sz w:val="22"/>
          <w:szCs w:val="22"/>
        </w:rPr>
        <w:t xml:space="preserve"> feedback earlier</w:t>
      </w:r>
      <w:r w:rsidR="0000036C">
        <w:rPr>
          <w:sz w:val="22"/>
          <w:szCs w:val="22"/>
        </w:rPr>
        <w:t>, the RTT for sidelink scheduling can be reduced</w:t>
      </w:r>
      <w:r w:rsidR="00192683">
        <w:rPr>
          <w:sz w:val="22"/>
          <w:szCs w:val="22"/>
        </w:rPr>
        <w:t xml:space="preserve">.  The cost is that the number of RRC connections in a cell may increase. </w:t>
      </w:r>
    </w:p>
    <w:p w14:paraId="5DCFAB62" w14:textId="76BE1F31" w:rsidR="00192683" w:rsidRDefault="00A63DDC" w:rsidP="00192683">
      <w:pPr>
        <w:jc w:val="center"/>
        <w:rPr>
          <w:sz w:val="22"/>
          <w:szCs w:val="22"/>
        </w:rPr>
      </w:pPr>
      <w:r>
        <w:object w:dxaOrig="7160" w:dyaOrig="5120" w14:anchorId="49DB8112">
          <v:shape id="_x0000_i1032" type="#_x0000_t75" style="width:298.65pt;height:213.5pt" o:ole="">
            <v:imagedata r:id="rId12" o:title=""/>
          </v:shape>
          <o:OLEObject Type="Embed" ProgID="Visio.Drawing.15" ShapeID="_x0000_i1032" DrawAspect="Content" ObjectID="_1608719234" r:id="rId13"/>
        </w:object>
      </w:r>
    </w:p>
    <w:p w14:paraId="1C3ECEE4" w14:textId="42B7BCC1" w:rsidR="00192683" w:rsidRDefault="00192683" w:rsidP="00192683">
      <w:pPr>
        <w:jc w:val="both"/>
        <w:rPr>
          <w:sz w:val="22"/>
          <w:szCs w:val="22"/>
        </w:rPr>
      </w:pPr>
    </w:p>
    <w:p w14:paraId="3093C5C4" w14:textId="37FCE478" w:rsidR="00192683" w:rsidRPr="00727968" w:rsidRDefault="00192683" w:rsidP="00192683">
      <w:pPr>
        <w:spacing w:before="120" w:after="240"/>
        <w:jc w:val="center"/>
        <w:rPr>
          <w:b/>
          <w:sz w:val="22"/>
          <w:szCs w:val="22"/>
        </w:rPr>
      </w:pPr>
      <w:r w:rsidRPr="00727968">
        <w:rPr>
          <w:b/>
          <w:sz w:val="22"/>
          <w:szCs w:val="22"/>
        </w:rPr>
        <w:t xml:space="preserve">Figure </w:t>
      </w:r>
      <w:r w:rsidR="00786DFB">
        <w:rPr>
          <w:b/>
          <w:sz w:val="22"/>
          <w:szCs w:val="22"/>
        </w:rPr>
        <w:t>3</w:t>
      </w:r>
      <w:r w:rsidRPr="00727968">
        <w:rPr>
          <w:b/>
          <w:sz w:val="22"/>
          <w:szCs w:val="22"/>
        </w:rPr>
        <w:t xml:space="preserve"> </w:t>
      </w:r>
      <w:r w:rsidR="002141A1">
        <w:rPr>
          <w:b/>
          <w:sz w:val="22"/>
          <w:szCs w:val="22"/>
        </w:rPr>
        <w:t>feedback SFCI directly to base station</w:t>
      </w:r>
      <w:r w:rsidR="00450428">
        <w:rPr>
          <w:b/>
          <w:sz w:val="22"/>
          <w:szCs w:val="22"/>
        </w:rPr>
        <w:t xml:space="preserve"> via uplink channel</w:t>
      </w:r>
    </w:p>
    <w:p w14:paraId="63E127D3" w14:textId="7E2BE44B" w:rsidR="004D7D51" w:rsidRPr="000B53F8" w:rsidRDefault="00A22626" w:rsidP="000B53F8">
      <w:pPr>
        <w:spacing w:before="240" w:after="60"/>
        <w:jc w:val="both"/>
        <w:rPr>
          <w:b/>
          <w:i/>
          <w:sz w:val="22"/>
          <w:szCs w:val="22"/>
        </w:rPr>
      </w:pPr>
      <w:r w:rsidRPr="006055AB">
        <w:rPr>
          <w:b/>
          <w:i/>
          <w:sz w:val="22"/>
          <w:szCs w:val="22"/>
        </w:rPr>
        <w:t xml:space="preserve">Proposal </w:t>
      </w:r>
      <w:r w:rsidR="000A5D10">
        <w:rPr>
          <w:b/>
          <w:i/>
          <w:sz w:val="22"/>
          <w:szCs w:val="22"/>
        </w:rPr>
        <w:t>5</w:t>
      </w:r>
      <w:r w:rsidRPr="006055AB">
        <w:rPr>
          <w:b/>
          <w:i/>
          <w:sz w:val="22"/>
          <w:szCs w:val="22"/>
        </w:rPr>
        <w:t xml:space="preserve">: </w:t>
      </w:r>
    </w:p>
    <w:p w14:paraId="1E025BFE" w14:textId="1C93AC18" w:rsidR="002F2D0C" w:rsidRDefault="002F2D0C" w:rsidP="00B42678">
      <w:pPr>
        <w:pStyle w:val="a5"/>
        <w:numPr>
          <w:ilvl w:val="0"/>
          <w:numId w:val="4"/>
        </w:numPr>
        <w:jc w:val="both"/>
        <w:rPr>
          <w:rFonts w:ascii="Times New Roman" w:hAnsi="Times New Roman"/>
          <w:b/>
          <w:i/>
        </w:rPr>
      </w:pPr>
      <w:r>
        <w:rPr>
          <w:rFonts w:ascii="Times New Roman" w:hAnsi="Times New Roman"/>
          <w:b/>
          <w:i/>
        </w:rPr>
        <w:t>Flexible PSFCH duration should be supported in NR V2X;</w:t>
      </w:r>
    </w:p>
    <w:p w14:paraId="6E1DCD65" w14:textId="7BE4B8A1" w:rsidR="00B42678" w:rsidRPr="004D7D51" w:rsidRDefault="00B02ACD" w:rsidP="00B42678">
      <w:pPr>
        <w:pStyle w:val="a5"/>
        <w:numPr>
          <w:ilvl w:val="0"/>
          <w:numId w:val="4"/>
        </w:numPr>
        <w:jc w:val="both"/>
        <w:rPr>
          <w:rFonts w:ascii="Times New Roman" w:hAnsi="Times New Roman"/>
          <w:b/>
          <w:i/>
        </w:rPr>
      </w:pPr>
      <w:r>
        <w:rPr>
          <w:rFonts w:ascii="Times New Roman" w:hAnsi="Times New Roman"/>
          <w:b/>
          <w:i/>
        </w:rPr>
        <w:t>NR sidelink should support SFCI feedback directly to the scheduling base station via uplink channel</w:t>
      </w:r>
      <w:r w:rsidR="00DA0189">
        <w:rPr>
          <w:rFonts w:ascii="Times New Roman" w:hAnsi="Times New Roman"/>
          <w:b/>
          <w:i/>
        </w:rPr>
        <w:t>.</w:t>
      </w:r>
    </w:p>
    <w:p w14:paraId="7DFF4723" w14:textId="77777777" w:rsidR="00A22626" w:rsidRPr="006055AB" w:rsidRDefault="00A22626" w:rsidP="005D0863">
      <w:pPr>
        <w:jc w:val="both"/>
        <w:rPr>
          <w:sz w:val="22"/>
          <w:szCs w:val="22"/>
          <w:lang w:val="en-AU"/>
        </w:rPr>
      </w:pPr>
    </w:p>
    <w:p w14:paraId="1C6EA802" w14:textId="59A657C5" w:rsidR="00044C54" w:rsidRPr="00BA072C" w:rsidRDefault="00BA072C" w:rsidP="00BA072C">
      <w:pPr>
        <w:spacing w:before="240" w:after="120"/>
        <w:jc w:val="both"/>
        <w:rPr>
          <w:b/>
          <w:u w:val="single"/>
        </w:rPr>
      </w:pPr>
      <w:r w:rsidRPr="00BA072C">
        <w:rPr>
          <w:b/>
          <w:u w:val="single"/>
        </w:rPr>
        <w:t>Link adaptation</w:t>
      </w:r>
    </w:p>
    <w:p w14:paraId="674FB808" w14:textId="71BDBE4B" w:rsidR="009C649F" w:rsidRDefault="002D6D39" w:rsidP="009C649F">
      <w:pPr>
        <w:jc w:val="both"/>
        <w:rPr>
          <w:sz w:val="22"/>
          <w:szCs w:val="22"/>
        </w:rPr>
      </w:pPr>
      <w:r>
        <w:rPr>
          <w:sz w:val="22"/>
          <w:szCs w:val="22"/>
        </w:rPr>
        <w:t xml:space="preserve">As discussed above, sidelink CSI can be fed back either to the base station or the transmitter, link adaption can be performed by base station or transmitter respectively. Just as Uu and LTE sidelink, link adaption behavior can be up to base station or UE, specification seems not necessary. </w:t>
      </w:r>
    </w:p>
    <w:p w14:paraId="57C3CFCB" w14:textId="0E0AEC1D" w:rsidR="002D6D39" w:rsidRPr="006055AB" w:rsidRDefault="002D6D39" w:rsidP="002D6D39">
      <w:pPr>
        <w:spacing w:before="240" w:after="60"/>
        <w:jc w:val="both"/>
        <w:rPr>
          <w:b/>
          <w:i/>
          <w:sz w:val="22"/>
          <w:szCs w:val="22"/>
        </w:rPr>
      </w:pPr>
      <w:r w:rsidRPr="006055AB">
        <w:rPr>
          <w:b/>
          <w:i/>
          <w:sz w:val="22"/>
          <w:szCs w:val="22"/>
        </w:rPr>
        <w:t xml:space="preserve">Proposal </w:t>
      </w:r>
      <w:r w:rsidR="000A5D10">
        <w:rPr>
          <w:b/>
          <w:i/>
          <w:sz w:val="22"/>
          <w:szCs w:val="22"/>
        </w:rPr>
        <w:t>6</w:t>
      </w:r>
      <w:r w:rsidRPr="006055AB">
        <w:rPr>
          <w:b/>
          <w:i/>
          <w:sz w:val="22"/>
          <w:szCs w:val="22"/>
        </w:rPr>
        <w:t xml:space="preserve">: </w:t>
      </w:r>
    </w:p>
    <w:p w14:paraId="50AC9886" w14:textId="770BBC51" w:rsidR="002D6D39" w:rsidRPr="006055AB" w:rsidRDefault="002D6D39" w:rsidP="00946724">
      <w:pPr>
        <w:pStyle w:val="a5"/>
        <w:numPr>
          <w:ilvl w:val="0"/>
          <w:numId w:val="4"/>
        </w:numPr>
        <w:jc w:val="both"/>
        <w:rPr>
          <w:rFonts w:ascii="Times New Roman" w:hAnsi="Times New Roman"/>
          <w:b/>
          <w:i/>
        </w:rPr>
      </w:pPr>
      <w:r>
        <w:rPr>
          <w:rFonts w:ascii="Times New Roman" w:hAnsi="Times New Roman"/>
          <w:b/>
          <w:i/>
        </w:rPr>
        <w:t>There is no need to specify link adaption behaviour for sidelink.</w:t>
      </w:r>
    </w:p>
    <w:p w14:paraId="306AE458" w14:textId="6A475DDB" w:rsidR="00BA072C" w:rsidRPr="00BA072C" w:rsidRDefault="00BA072C" w:rsidP="00BA072C">
      <w:pPr>
        <w:spacing w:before="240" w:after="120"/>
        <w:jc w:val="both"/>
        <w:rPr>
          <w:b/>
          <w:u w:val="single"/>
        </w:rPr>
      </w:pPr>
      <w:r w:rsidRPr="00BA072C">
        <w:rPr>
          <w:b/>
          <w:u w:val="single"/>
        </w:rPr>
        <w:t>Multi-antenna transmission scheme</w:t>
      </w:r>
    </w:p>
    <w:p w14:paraId="4FAEAC0E" w14:textId="5EF82A49" w:rsidR="00BA072C" w:rsidRDefault="00562AC4" w:rsidP="009C649F">
      <w:pPr>
        <w:jc w:val="both"/>
        <w:rPr>
          <w:sz w:val="22"/>
          <w:szCs w:val="22"/>
        </w:rPr>
      </w:pPr>
      <w:r>
        <w:rPr>
          <w:sz w:val="22"/>
          <w:szCs w:val="22"/>
        </w:rPr>
        <w:t>Transmission diversity was discussed in Rel-15 LTE V2X, it was justified that transmission diversity schemes, e.g. SFBC, can improve the reliability of sidelink. Hence, for NR V2X broadcast, it is desirable to introduce transmission diversity.</w:t>
      </w:r>
      <w:r w:rsidR="009A7AA7">
        <w:rPr>
          <w:sz w:val="22"/>
          <w:szCs w:val="22"/>
        </w:rPr>
        <w:t xml:space="preserve"> </w:t>
      </w:r>
      <w:r w:rsidR="00262FCA">
        <w:rPr>
          <w:sz w:val="22"/>
          <w:szCs w:val="22"/>
        </w:rPr>
        <w:t>As to NR V2X unicast/broadcast</w:t>
      </w:r>
      <w:r w:rsidR="00FD29C5">
        <w:rPr>
          <w:sz w:val="22"/>
          <w:szCs w:val="22"/>
        </w:rPr>
        <w:t xml:space="preserve">, </w:t>
      </w:r>
      <w:r w:rsidR="009A7AA7">
        <w:rPr>
          <w:sz w:val="22"/>
          <w:szCs w:val="22"/>
        </w:rPr>
        <w:t xml:space="preserve">spatial multiplexing schemes can be supported to improve the data rate on </w:t>
      </w:r>
      <w:r w:rsidR="00BD28E8">
        <w:rPr>
          <w:sz w:val="22"/>
          <w:szCs w:val="22"/>
        </w:rPr>
        <w:t>sidelink</w:t>
      </w:r>
      <w:r w:rsidR="009A7AA7">
        <w:rPr>
          <w:sz w:val="22"/>
          <w:szCs w:val="22"/>
        </w:rPr>
        <w:t>.</w:t>
      </w:r>
    </w:p>
    <w:p w14:paraId="5C283424" w14:textId="2F619578" w:rsidR="00BD28E8" w:rsidRPr="006055AB" w:rsidRDefault="00BD28E8" w:rsidP="00BD28E8">
      <w:pPr>
        <w:spacing w:before="240" w:after="60"/>
        <w:jc w:val="both"/>
        <w:rPr>
          <w:b/>
          <w:i/>
          <w:sz w:val="22"/>
          <w:szCs w:val="22"/>
        </w:rPr>
      </w:pPr>
      <w:r w:rsidRPr="006055AB">
        <w:rPr>
          <w:b/>
          <w:i/>
          <w:sz w:val="22"/>
          <w:szCs w:val="22"/>
        </w:rPr>
        <w:t xml:space="preserve">Proposal </w:t>
      </w:r>
      <w:r w:rsidR="000A5D10">
        <w:rPr>
          <w:b/>
          <w:i/>
          <w:sz w:val="22"/>
          <w:szCs w:val="22"/>
        </w:rPr>
        <w:t>7</w:t>
      </w:r>
      <w:r w:rsidRPr="006055AB">
        <w:rPr>
          <w:b/>
          <w:i/>
          <w:sz w:val="22"/>
          <w:szCs w:val="22"/>
        </w:rPr>
        <w:t xml:space="preserve">: </w:t>
      </w:r>
    </w:p>
    <w:p w14:paraId="0D653AD3" w14:textId="368A4817" w:rsidR="00BD28E8" w:rsidRPr="006055AB" w:rsidRDefault="00FD29C5" w:rsidP="00946724">
      <w:pPr>
        <w:pStyle w:val="a5"/>
        <w:numPr>
          <w:ilvl w:val="0"/>
          <w:numId w:val="4"/>
        </w:numPr>
        <w:jc w:val="both"/>
        <w:rPr>
          <w:rFonts w:ascii="Times New Roman" w:hAnsi="Times New Roman"/>
          <w:b/>
          <w:i/>
        </w:rPr>
      </w:pPr>
      <w:r>
        <w:rPr>
          <w:rFonts w:ascii="Times New Roman" w:hAnsi="Times New Roman"/>
          <w:b/>
          <w:i/>
        </w:rPr>
        <w:t>Support transmission diversity for NR V2X broadcast, and</w:t>
      </w:r>
      <w:r w:rsidR="00E1083C">
        <w:rPr>
          <w:rFonts w:ascii="Times New Roman" w:hAnsi="Times New Roman"/>
          <w:b/>
          <w:i/>
        </w:rPr>
        <w:t xml:space="preserve"> support</w:t>
      </w:r>
      <w:r>
        <w:rPr>
          <w:rFonts w:ascii="Times New Roman" w:hAnsi="Times New Roman"/>
          <w:b/>
          <w:i/>
        </w:rPr>
        <w:t xml:space="preserve"> spatial multiplexing for NR V2X unicast/groupcast</w:t>
      </w:r>
      <w:r w:rsidR="00BD28E8">
        <w:rPr>
          <w:rFonts w:ascii="Times New Roman" w:hAnsi="Times New Roman"/>
          <w:b/>
          <w:i/>
        </w:rPr>
        <w:t>.</w:t>
      </w:r>
    </w:p>
    <w:p w14:paraId="5672AB41" w14:textId="7465C260" w:rsidR="003C6DD0" w:rsidRPr="00EE68B8" w:rsidRDefault="003C6DD0" w:rsidP="009C649F">
      <w:pPr>
        <w:jc w:val="both"/>
        <w:rPr>
          <w:sz w:val="22"/>
          <w:szCs w:val="22"/>
        </w:rPr>
      </w:pPr>
    </w:p>
    <w:p w14:paraId="5782664A" w14:textId="77777777" w:rsidR="00012620" w:rsidRPr="006055AB" w:rsidRDefault="00012620" w:rsidP="00012620">
      <w:pPr>
        <w:pStyle w:val="1"/>
        <w:spacing w:after="120"/>
        <w:jc w:val="both"/>
        <w:rPr>
          <w:rFonts w:ascii="Times New Roman" w:hAnsi="Times New Roman" w:cs="Times New Roman"/>
          <w:sz w:val="22"/>
          <w:szCs w:val="22"/>
          <w:lang w:val="en-AU" w:eastAsia="en-AU"/>
        </w:rPr>
      </w:pPr>
      <w:r w:rsidRPr="006055AB">
        <w:rPr>
          <w:rFonts w:ascii="Times New Roman" w:hAnsi="Times New Roman" w:cs="Times New Roman"/>
          <w:sz w:val="22"/>
          <w:szCs w:val="22"/>
          <w:lang w:val="en-AU" w:eastAsia="en-AU"/>
        </w:rPr>
        <w:t>Conclusion</w:t>
      </w:r>
    </w:p>
    <w:p w14:paraId="72D7FC9B" w14:textId="2F47553E" w:rsidR="006A79F4" w:rsidRPr="006055AB" w:rsidRDefault="0037617D" w:rsidP="006A79F4">
      <w:pPr>
        <w:jc w:val="both"/>
        <w:rPr>
          <w:sz w:val="22"/>
          <w:szCs w:val="22"/>
        </w:rPr>
      </w:pPr>
      <w:r w:rsidRPr="006055AB">
        <w:rPr>
          <w:sz w:val="22"/>
          <w:szCs w:val="22"/>
        </w:rPr>
        <w:t>In this contributions, we discuss</w:t>
      </w:r>
      <w:r>
        <w:rPr>
          <w:sz w:val="22"/>
          <w:szCs w:val="22"/>
        </w:rPr>
        <w:t>ed</w:t>
      </w:r>
      <w:r w:rsidRPr="006055AB">
        <w:rPr>
          <w:sz w:val="22"/>
          <w:szCs w:val="22"/>
        </w:rPr>
        <w:t xml:space="preserve"> the issues </w:t>
      </w:r>
      <w:r w:rsidR="00522548">
        <w:rPr>
          <w:sz w:val="22"/>
          <w:szCs w:val="22"/>
        </w:rPr>
        <w:t>related to</w:t>
      </w:r>
      <w:r w:rsidR="00D129E7">
        <w:rPr>
          <w:sz w:val="22"/>
          <w:szCs w:val="22"/>
        </w:rPr>
        <w:t xml:space="preserve"> physical layer procedures</w:t>
      </w:r>
      <w:r>
        <w:rPr>
          <w:sz w:val="22"/>
          <w:szCs w:val="22"/>
        </w:rPr>
        <w:t xml:space="preserve">, </w:t>
      </w:r>
      <w:r w:rsidR="006A79F4" w:rsidRPr="006055AB">
        <w:rPr>
          <w:sz w:val="22"/>
          <w:szCs w:val="22"/>
        </w:rPr>
        <w:t>we have following proposals:</w:t>
      </w:r>
    </w:p>
    <w:p w14:paraId="173C13D1" w14:textId="77777777" w:rsidR="006A79F4" w:rsidRPr="006055AB" w:rsidRDefault="006A79F4" w:rsidP="006A79F4">
      <w:pPr>
        <w:jc w:val="both"/>
        <w:rPr>
          <w:sz w:val="22"/>
          <w:szCs w:val="22"/>
        </w:rPr>
      </w:pPr>
    </w:p>
    <w:p w14:paraId="16B97226" w14:textId="77777777" w:rsidR="000A5D10" w:rsidRPr="006055AB" w:rsidRDefault="000A5D10" w:rsidP="000A5D10">
      <w:pPr>
        <w:spacing w:after="120"/>
        <w:jc w:val="both"/>
        <w:rPr>
          <w:b/>
          <w:i/>
          <w:sz w:val="22"/>
          <w:szCs w:val="22"/>
        </w:rPr>
      </w:pPr>
      <w:r w:rsidRPr="006055AB">
        <w:rPr>
          <w:b/>
          <w:i/>
          <w:sz w:val="22"/>
          <w:szCs w:val="22"/>
        </w:rPr>
        <w:t xml:space="preserve">Proposal 1: </w:t>
      </w:r>
    </w:p>
    <w:p w14:paraId="635CD4E6" w14:textId="112B207F" w:rsidR="000A5D10" w:rsidRDefault="000A5D10" w:rsidP="000A5D10">
      <w:pPr>
        <w:pStyle w:val="a5"/>
        <w:numPr>
          <w:ilvl w:val="0"/>
          <w:numId w:val="3"/>
        </w:numPr>
        <w:jc w:val="both"/>
        <w:rPr>
          <w:rFonts w:ascii="Times New Roman" w:hAnsi="Times New Roman"/>
          <w:b/>
          <w:i/>
        </w:rPr>
      </w:pPr>
      <w:r>
        <w:rPr>
          <w:rFonts w:ascii="Times New Roman" w:hAnsi="Times New Roman"/>
          <w:b/>
          <w:i/>
        </w:rPr>
        <w:t>Use dedicated HARQ feedback resource for each receiver in groupcast</w:t>
      </w:r>
      <w:r w:rsidR="00E64A77">
        <w:rPr>
          <w:rFonts w:ascii="Times New Roman" w:hAnsi="Times New Roman"/>
          <w:b/>
          <w:i/>
        </w:rPr>
        <w:t>.</w:t>
      </w:r>
    </w:p>
    <w:p w14:paraId="2CDE924A" w14:textId="77777777" w:rsidR="00A2523F" w:rsidRDefault="00A2523F" w:rsidP="000A5D10">
      <w:pPr>
        <w:spacing w:after="120"/>
        <w:jc w:val="both"/>
        <w:rPr>
          <w:b/>
          <w:i/>
          <w:sz w:val="22"/>
          <w:szCs w:val="22"/>
        </w:rPr>
      </w:pPr>
    </w:p>
    <w:p w14:paraId="7B606520" w14:textId="77E1CF67" w:rsidR="000A5D10" w:rsidRPr="006055AB" w:rsidRDefault="000A5D10" w:rsidP="000A5D10">
      <w:pPr>
        <w:spacing w:after="120"/>
        <w:jc w:val="both"/>
        <w:rPr>
          <w:b/>
          <w:i/>
          <w:sz w:val="22"/>
          <w:szCs w:val="22"/>
        </w:rPr>
      </w:pPr>
      <w:r w:rsidRPr="006055AB">
        <w:rPr>
          <w:b/>
          <w:i/>
          <w:sz w:val="22"/>
          <w:szCs w:val="22"/>
        </w:rPr>
        <w:lastRenderedPageBreak/>
        <w:t xml:space="preserve">Proposal </w:t>
      </w:r>
      <w:r>
        <w:rPr>
          <w:b/>
          <w:i/>
          <w:sz w:val="22"/>
          <w:szCs w:val="22"/>
        </w:rPr>
        <w:t>2</w:t>
      </w:r>
      <w:r w:rsidRPr="006055AB">
        <w:rPr>
          <w:b/>
          <w:i/>
          <w:sz w:val="22"/>
          <w:szCs w:val="22"/>
        </w:rPr>
        <w:t xml:space="preserve">: </w:t>
      </w:r>
    </w:p>
    <w:p w14:paraId="3C147A35" w14:textId="77777777" w:rsidR="000A5D10" w:rsidRDefault="000A5D10" w:rsidP="000A5D10">
      <w:pPr>
        <w:pStyle w:val="a5"/>
        <w:numPr>
          <w:ilvl w:val="0"/>
          <w:numId w:val="3"/>
        </w:numPr>
        <w:jc w:val="both"/>
        <w:rPr>
          <w:rFonts w:ascii="Times New Roman" w:hAnsi="Times New Roman"/>
          <w:b/>
          <w:i/>
        </w:rPr>
      </w:pPr>
      <w:r>
        <w:rPr>
          <w:rFonts w:ascii="Times New Roman" w:hAnsi="Times New Roman"/>
          <w:b/>
          <w:i/>
        </w:rPr>
        <w:t>HARQ process ID should be conveyed via PSCCH;</w:t>
      </w:r>
    </w:p>
    <w:p w14:paraId="78A10736" w14:textId="49BE49FB" w:rsidR="000A5D10" w:rsidRDefault="000A5D10" w:rsidP="000A5D10">
      <w:pPr>
        <w:pStyle w:val="a5"/>
        <w:numPr>
          <w:ilvl w:val="0"/>
          <w:numId w:val="3"/>
        </w:numPr>
        <w:jc w:val="both"/>
        <w:rPr>
          <w:rFonts w:ascii="Times New Roman" w:hAnsi="Times New Roman"/>
          <w:b/>
          <w:i/>
        </w:rPr>
      </w:pPr>
      <w:r>
        <w:rPr>
          <w:rFonts w:ascii="Times New Roman" w:hAnsi="Times New Roman"/>
          <w:b/>
          <w:i/>
        </w:rPr>
        <w:t>FFS if layer-1 source ID should be</w:t>
      </w:r>
      <w:r w:rsidR="00D14829">
        <w:rPr>
          <w:rFonts w:ascii="Times New Roman" w:hAnsi="Times New Roman"/>
          <w:b/>
          <w:i/>
        </w:rPr>
        <w:t xml:space="preserve"> conveyed via PSCCH for unicast/</w:t>
      </w:r>
      <w:r w:rsidR="00B643BF">
        <w:rPr>
          <w:rFonts w:ascii="Times New Roman" w:hAnsi="Times New Roman"/>
          <w:b/>
          <w:i/>
        </w:rPr>
        <w:t>groupcast link identification.</w:t>
      </w:r>
    </w:p>
    <w:p w14:paraId="549E9927" w14:textId="77777777" w:rsidR="000A5D10" w:rsidRPr="006055AB" w:rsidRDefault="000A5D10" w:rsidP="000A5D10">
      <w:pPr>
        <w:spacing w:before="240" w:after="60"/>
        <w:jc w:val="both"/>
        <w:rPr>
          <w:b/>
          <w:i/>
          <w:sz w:val="22"/>
          <w:szCs w:val="22"/>
        </w:rPr>
      </w:pPr>
      <w:r w:rsidRPr="006055AB">
        <w:rPr>
          <w:b/>
          <w:i/>
          <w:sz w:val="22"/>
          <w:szCs w:val="22"/>
        </w:rPr>
        <w:t xml:space="preserve">Proposal </w:t>
      </w:r>
      <w:r>
        <w:rPr>
          <w:b/>
          <w:i/>
          <w:sz w:val="22"/>
          <w:szCs w:val="22"/>
        </w:rPr>
        <w:t>3</w:t>
      </w:r>
      <w:r w:rsidRPr="006055AB">
        <w:rPr>
          <w:b/>
          <w:i/>
          <w:sz w:val="22"/>
          <w:szCs w:val="22"/>
        </w:rPr>
        <w:t xml:space="preserve">: </w:t>
      </w:r>
    </w:p>
    <w:p w14:paraId="636654CB" w14:textId="2F5CD16C" w:rsidR="000A5D10" w:rsidRDefault="000A5D10" w:rsidP="000A5D10">
      <w:pPr>
        <w:pStyle w:val="a5"/>
        <w:numPr>
          <w:ilvl w:val="0"/>
          <w:numId w:val="4"/>
        </w:numPr>
        <w:jc w:val="both"/>
        <w:rPr>
          <w:rFonts w:ascii="Times New Roman" w:hAnsi="Times New Roman"/>
          <w:b/>
          <w:i/>
        </w:rPr>
      </w:pPr>
      <w:r>
        <w:rPr>
          <w:rFonts w:ascii="Times New Roman" w:hAnsi="Times New Roman"/>
          <w:b/>
          <w:i/>
        </w:rPr>
        <w:t>Sidelink CQI feedback should be support for unicast and groupcast on NR sidelink</w:t>
      </w:r>
      <w:r w:rsidR="00B643BF">
        <w:rPr>
          <w:rFonts w:ascii="Times New Roman" w:hAnsi="Times New Roman"/>
          <w:b/>
          <w:i/>
        </w:rPr>
        <w:t>.</w:t>
      </w:r>
    </w:p>
    <w:p w14:paraId="1D8144E1" w14:textId="77777777" w:rsidR="00D14829" w:rsidRPr="006055AB" w:rsidRDefault="00D14829" w:rsidP="00D14829">
      <w:pPr>
        <w:spacing w:before="240" w:after="60"/>
        <w:jc w:val="both"/>
        <w:rPr>
          <w:b/>
          <w:i/>
          <w:sz w:val="22"/>
          <w:szCs w:val="22"/>
        </w:rPr>
      </w:pPr>
      <w:r w:rsidRPr="006055AB">
        <w:rPr>
          <w:b/>
          <w:i/>
          <w:sz w:val="22"/>
          <w:szCs w:val="22"/>
        </w:rPr>
        <w:t xml:space="preserve">Proposal </w:t>
      </w:r>
      <w:r>
        <w:rPr>
          <w:b/>
          <w:i/>
          <w:sz w:val="22"/>
          <w:szCs w:val="22"/>
        </w:rPr>
        <w:t>4</w:t>
      </w:r>
      <w:r w:rsidRPr="006055AB">
        <w:rPr>
          <w:b/>
          <w:i/>
          <w:sz w:val="22"/>
          <w:szCs w:val="22"/>
        </w:rPr>
        <w:t xml:space="preserve">: </w:t>
      </w:r>
    </w:p>
    <w:p w14:paraId="033C316D" w14:textId="77777777" w:rsidR="00D14829" w:rsidRDefault="00D14829" w:rsidP="00D14829">
      <w:pPr>
        <w:pStyle w:val="a5"/>
        <w:numPr>
          <w:ilvl w:val="0"/>
          <w:numId w:val="4"/>
        </w:numPr>
        <w:jc w:val="both"/>
        <w:rPr>
          <w:rFonts w:ascii="Times New Roman" w:hAnsi="Times New Roman"/>
          <w:b/>
          <w:i/>
        </w:rPr>
      </w:pPr>
      <w:r>
        <w:rPr>
          <w:rFonts w:ascii="Times New Roman" w:hAnsi="Times New Roman"/>
          <w:b/>
          <w:i/>
        </w:rPr>
        <w:t>Open loop power control mechanism in LTE V2X should be reused for NR V2X</w:t>
      </w:r>
      <w:r w:rsidRPr="006055AB">
        <w:rPr>
          <w:rFonts w:ascii="Times New Roman" w:hAnsi="Times New Roman"/>
          <w:b/>
          <w:i/>
        </w:rPr>
        <w:t>;</w:t>
      </w:r>
    </w:p>
    <w:p w14:paraId="3740D33A" w14:textId="27C0E4B2" w:rsidR="00D14829" w:rsidRPr="00B42678" w:rsidRDefault="00D14829" w:rsidP="00D14829">
      <w:pPr>
        <w:pStyle w:val="a5"/>
        <w:numPr>
          <w:ilvl w:val="0"/>
          <w:numId w:val="4"/>
        </w:numPr>
        <w:jc w:val="both"/>
        <w:rPr>
          <w:rFonts w:ascii="Times New Roman" w:hAnsi="Times New Roman"/>
          <w:b/>
          <w:i/>
        </w:rPr>
      </w:pPr>
      <w:r>
        <w:rPr>
          <w:rFonts w:ascii="Times New Roman" w:hAnsi="Times New Roman"/>
          <w:b/>
          <w:i/>
        </w:rPr>
        <w:t>Define a sidelink power control mechanism to enable the receiving UE to contr</w:t>
      </w:r>
      <w:r w:rsidR="00B643BF">
        <w:rPr>
          <w:rFonts w:ascii="Times New Roman" w:hAnsi="Times New Roman"/>
          <w:b/>
          <w:i/>
        </w:rPr>
        <w:t>ol the power of transmitting UE.</w:t>
      </w:r>
    </w:p>
    <w:p w14:paraId="4240E13A" w14:textId="77777777" w:rsidR="000A5D10" w:rsidRPr="000B53F8" w:rsidRDefault="000A5D10" w:rsidP="000A5D10">
      <w:pPr>
        <w:spacing w:before="240" w:after="60"/>
        <w:jc w:val="both"/>
        <w:rPr>
          <w:b/>
          <w:i/>
          <w:sz w:val="22"/>
          <w:szCs w:val="22"/>
        </w:rPr>
      </w:pPr>
      <w:r w:rsidRPr="006055AB">
        <w:rPr>
          <w:b/>
          <w:i/>
          <w:sz w:val="22"/>
          <w:szCs w:val="22"/>
        </w:rPr>
        <w:t xml:space="preserve">Proposal </w:t>
      </w:r>
      <w:r>
        <w:rPr>
          <w:b/>
          <w:i/>
          <w:sz w:val="22"/>
          <w:szCs w:val="22"/>
        </w:rPr>
        <w:t>5</w:t>
      </w:r>
      <w:r w:rsidRPr="006055AB">
        <w:rPr>
          <w:b/>
          <w:i/>
          <w:sz w:val="22"/>
          <w:szCs w:val="22"/>
        </w:rPr>
        <w:t xml:space="preserve">: </w:t>
      </w:r>
    </w:p>
    <w:p w14:paraId="08ED44A3" w14:textId="77777777" w:rsidR="007E1895" w:rsidRDefault="007E1895" w:rsidP="007E1895">
      <w:pPr>
        <w:pStyle w:val="a5"/>
        <w:numPr>
          <w:ilvl w:val="0"/>
          <w:numId w:val="4"/>
        </w:numPr>
        <w:jc w:val="both"/>
        <w:rPr>
          <w:rFonts w:ascii="Times New Roman" w:hAnsi="Times New Roman"/>
          <w:b/>
          <w:i/>
        </w:rPr>
      </w:pPr>
      <w:r>
        <w:rPr>
          <w:rFonts w:ascii="Times New Roman" w:hAnsi="Times New Roman"/>
          <w:b/>
          <w:i/>
        </w:rPr>
        <w:t>Flexible PSFCH duration should be supported in NR V2X;</w:t>
      </w:r>
    </w:p>
    <w:p w14:paraId="116EE9E6" w14:textId="2A4A5CF5" w:rsidR="007E1895" w:rsidRPr="004D7D51" w:rsidRDefault="007E1895" w:rsidP="007E1895">
      <w:pPr>
        <w:pStyle w:val="a5"/>
        <w:numPr>
          <w:ilvl w:val="0"/>
          <w:numId w:val="4"/>
        </w:numPr>
        <w:jc w:val="both"/>
        <w:rPr>
          <w:rFonts w:ascii="Times New Roman" w:hAnsi="Times New Roman"/>
          <w:b/>
          <w:i/>
        </w:rPr>
      </w:pPr>
      <w:r>
        <w:rPr>
          <w:rFonts w:ascii="Times New Roman" w:hAnsi="Times New Roman"/>
          <w:b/>
          <w:i/>
        </w:rPr>
        <w:t>NR sidelink should support SFCI feedback directly to the scheduling base station via uplink channel</w:t>
      </w:r>
      <w:r w:rsidR="00B643BF">
        <w:rPr>
          <w:rFonts w:ascii="Times New Roman" w:hAnsi="Times New Roman"/>
          <w:b/>
          <w:i/>
        </w:rPr>
        <w:t>.</w:t>
      </w:r>
    </w:p>
    <w:p w14:paraId="6D75B3DC" w14:textId="77777777" w:rsidR="000A5D10" w:rsidRPr="006055AB" w:rsidRDefault="000A5D10" w:rsidP="000A5D10">
      <w:pPr>
        <w:spacing w:before="240" w:after="60"/>
        <w:jc w:val="both"/>
        <w:rPr>
          <w:b/>
          <w:i/>
          <w:sz w:val="22"/>
          <w:szCs w:val="22"/>
        </w:rPr>
      </w:pPr>
      <w:r w:rsidRPr="006055AB">
        <w:rPr>
          <w:b/>
          <w:i/>
          <w:sz w:val="22"/>
          <w:szCs w:val="22"/>
        </w:rPr>
        <w:t xml:space="preserve">Proposal </w:t>
      </w:r>
      <w:r>
        <w:rPr>
          <w:b/>
          <w:i/>
          <w:sz w:val="22"/>
          <w:szCs w:val="22"/>
        </w:rPr>
        <w:t>6</w:t>
      </w:r>
      <w:r w:rsidRPr="006055AB">
        <w:rPr>
          <w:b/>
          <w:i/>
          <w:sz w:val="22"/>
          <w:szCs w:val="22"/>
        </w:rPr>
        <w:t xml:space="preserve">: </w:t>
      </w:r>
    </w:p>
    <w:p w14:paraId="5781E86B" w14:textId="77777777" w:rsidR="000A5D10" w:rsidRPr="006055AB" w:rsidRDefault="000A5D10" w:rsidP="000A5D10">
      <w:pPr>
        <w:pStyle w:val="a5"/>
        <w:numPr>
          <w:ilvl w:val="0"/>
          <w:numId w:val="4"/>
        </w:numPr>
        <w:jc w:val="both"/>
        <w:rPr>
          <w:rFonts w:ascii="Times New Roman" w:hAnsi="Times New Roman"/>
          <w:b/>
          <w:i/>
        </w:rPr>
      </w:pPr>
      <w:r>
        <w:rPr>
          <w:rFonts w:ascii="Times New Roman" w:hAnsi="Times New Roman"/>
          <w:b/>
          <w:i/>
        </w:rPr>
        <w:t>There is no need to specify link adaption behaviour for sidelink.</w:t>
      </w:r>
    </w:p>
    <w:p w14:paraId="2DBE477C" w14:textId="77777777" w:rsidR="000A5D10" w:rsidRPr="006055AB" w:rsidRDefault="000A5D10" w:rsidP="000A5D10">
      <w:pPr>
        <w:spacing w:before="240" w:after="60"/>
        <w:jc w:val="both"/>
        <w:rPr>
          <w:b/>
          <w:i/>
          <w:sz w:val="22"/>
          <w:szCs w:val="22"/>
        </w:rPr>
      </w:pPr>
      <w:r w:rsidRPr="006055AB">
        <w:rPr>
          <w:b/>
          <w:i/>
          <w:sz w:val="22"/>
          <w:szCs w:val="22"/>
        </w:rPr>
        <w:t xml:space="preserve">Proposal </w:t>
      </w:r>
      <w:r>
        <w:rPr>
          <w:b/>
          <w:i/>
          <w:sz w:val="22"/>
          <w:szCs w:val="22"/>
        </w:rPr>
        <w:t>7</w:t>
      </w:r>
      <w:r w:rsidRPr="006055AB">
        <w:rPr>
          <w:b/>
          <w:i/>
          <w:sz w:val="22"/>
          <w:szCs w:val="22"/>
        </w:rPr>
        <w:t xml:space="preserve">: </w:t>
      </w:r>
    </w:p>
    <w:p w14:paraId="77C92820" w14:textId="77777777" w:rsidR="000A5D10" w:rsidRPr="006055AB" w:rsidRDefault="000A5D10" w:rsidP="000A5D10">
      <w:pPr>
        <w:pStyle w:val="a5"/>
        <w:numPr>
          <w:ilvl w:val="0"/>
          <w:numId w:val="4"/>
        </w:numPr>
        <w:jc w:val="both"/>
        <w:rPr>
          <w:rFonts w:ascii="Times New Roman" w:hAnsi="Times New Roman"/>
          <w:b/>
          <w:i/>
        </w:rPr>
      </w:pPr>
      <w:r>
        <w:rPr>
          <w:rFonts w:ascii="Times New Roman" w:hAnsi="Times New Roman"/>
          <w:b/>
          <w:i/>
        </w:rPr>
        <w:t>Support transmission diversity for NR V2X broadcast, and support spatial multiplexing for NR V2X unicast/groupcast.</w:t>
      </w:r>
    </w:p>
    <w:p w14:paraId="00456AB0" w14:textId="79A4956E" w:rsidR="00012620" w:rsidRPr="006055AB" w:rsidRDefault="00012620" w:rsidP="006A79F4">
      <w:pPr>
        <w:pStyle w:val="1"/>
        <w:spacing w:after="120"/>
        <w:jc w:val="both"/>
        <w:rPr>
          <w:rFonts w:ascii="Times New Roman" w:hAnsi="Times New Roman" w:cs="Times New Roman"/>
          <w:sz w:val="22"/>
          <w:szCs w:val="22"/>
          <w:lang w:val="en-AU" w:eastAsia="en-AU"/>
        </w:rPr>
      </w:pPr>
      <w:r w:rsidRPr="006055AB">
        <w:rPr>
          <w:rFonts w:ascii="Times New Roman" w:hAnsi="Times New Roman" w:cs="Times New Roman"/>
          <w:sz w:val="22"/>
          <w:szCs w:val="22"/>
          <w:lang w:val="en-AU" w:eastAsia="en-AU"/>
        </w:rPr>
        <w:t>References</w:t>
      </w:r>
    </w:p>
    <w:p w14:paraId="096A970E" w14:textId="6B863521" w:rsidR="00142CCF" w:rsidRPr="006055AB" w:rsidRDefault="006F6050" w:rsidP="00946724">
      <w:pPr>
        <w:pStyle w:val="a5"/>
        <w:numPr>
          <w:ilvl w:val="0"/>
          <w:numId w:val="2"/>
        </w:numPr>
        <w:tabs>
          <w:tab w:val="left" w:pos="567"/>
        </w:tabs>
        <w:ind w:left="-284" w:firstLine="284"/>
        <w:jc w:val="both"/>
        <w:rPr>
          <w:rFonts w:ascii="Times New Roman" w:hAnsi="Times New Roman"/>
        </w:rPr>
      </w:pPr>
      <w:bookmarkStart w:id="3" w:name="_Ref521069630"/>
      <w:r w:rsidRPr="006055AB">
        <w:rPr>
          <w:rFonts w:ascii="Times New Roman" w:hAnsi="Times New Roman"/>
        </w:rPr>
        <w:t>RP-181429, New SID: Study on NR V2X</w:t>
      </w:r>
      <w:bookmarkEnd w:id="3"/>
      <w:r w:rsidR="00384B0A" w:rsidRPr="006055AB">
        <w:rPr>
          <w:rFonts w:ascii="Times New Roman" w:hAnsi="Times New Roman"/>
        </w:rPr>
        <w:t>;</w:t>
      </w:r>
    </w:p>
    <w:p w14:paraId="1113D4E0" w14:textId="3D605F0E" w:rsidR="00A60138" w:rsidRDefault="00384B0A" w:rsidP="00946724">
      <w:pPr>
        <w:pStyle w:val="a5"/>
        <w:numPr>
          <w:ilvl w:val="0"/>
          <w:numId w:val="2"/>
        </w:numPr>
        <w:tabs>
          <w:tab w:val="left" w:pos="567"/>
        </w:tabs>
        <w:ind w:left="-284" w:firstLine="284"/>
        <w:jc w:val="both"/>
        <w:rPr>
          <w:rFonts w:ascii="Times New Roman" w:hAnsi="Times New Roman"/>
        </w:rPr>
      </w:pPr>
      <w:bookmarkStart w:id="4" w:name="_Ref525032988"/>
      <w:r w:rsidRPr="006055AB">
        <w:rPr>
          <w:rFonts w:ascii="Times New Roman" w:hAnsi="Times New Roman"/>
        </w:rPr>
        <w:t>Chairman's Notes RAN1#9</w:t>
      </w:r>
      <w:r w:rsidR="0042613E">
        <w:rPr>
          <w:rFonts w:ascii="Times New Roman" w:hAnsi="Times New Roman"/>
        </w:rPr>
        <w:t>5</w:t>
      </w:r>
      <w:r w:rsidRPr="006055AB">
        <w:rPr>
          <w:rFonts w:ascii="Times New Roman" w:hAnsi="Times New Roman"/>
        </w:rPr>
        <w:t>;</w:t>
      </w:r>
      <w:bookmarkEnd w:id="4"/>
    </w:p>
    <w:p w14:paraId="352B6A63" w14:textId="58AB6C0D" w:rsidR="00EE68B8" w:rsidRPr="00EE68B8" w:rsidRDefault="00EE68B8" w:rsidP="00EE68B8">
      <w:pPr>
        <w:pStyle w:val="a5"/>
        <w:numPr>
          <w:ilvl w:val="0"/>
          <w:numId w:val="2"/>
        </w:numPr>
        <w:tabs>
          <w:tab w:val="left" w:pos="567"/>
        </w:tabs>
        <w:ind w:left="-284" w:firstLine="284"/>
        <w:jc w:val="both"/>
        <w:rPr>
          <w:rFonts w:ascii="Times New Roman" w:hAnsi="Times New Roman"/>
        </w:rPr>
      </w:pPr>
      <w:bookmarkStart w:id="5" w:name="_Ref534823951"/>
      <w:r w:rsidRPr="006055AB">
        <w:rPr>
          <w:rFonts w:ascii="Times New Roman" w:hAnsi="Times New Roman"/>
        </w:rPr>
        <w:t>Chairman's Notes RAN1#9</w:t>
      </w:r>
      <w:r>
        <w:rPr>
          <w:rFonts w:ascii="Times New Roman" w:hAnsi="Times New Roman"/>
        </w:rPr>
        <w:t>4bis</w:t>
      </w:r>
      <w:r w:rsidRPr="006055AB">
        <w:rPr>
          <w:rFonts w:ascii="Times New Roman" w:hAnsi="Times New Roman"/>
        </w:rPr>
        <w:t>;</w:t>
      </w:r>
      <w:bookmarkEnd w:id="5"/>
    </w:p>
    <w:sectPr w:rsidR="00EE68B8" w:rsidRPr="00EE68B8" w:rsidSect="00537E71">
      <w:footerReference w:type="default" r:id="rId14"/>
      <w:pgSz w:w="11906" w:h="16838"/>
      <w:pgMar w:top="1440" w:right="1440" w:bottom="1440" w:left="1440"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D1C378" w14:textId="77777777" w:rsidR="00C03682" w:rsidRDefault="00C03682" w:rsidP="00537E71">
      <w:r>
        <w:separator/>
      </w:r>
    </w:p>
  </w:endnote>
  <w:endnote w:type="continuationSeparator" w:id="0">
    <w:p w14:paraId="7FAEC373" w14:textId="77777777" w:rsidR="00C03682" w:rsidRDefault="00C03682" w:rsidP="0053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5878675"/>
      <w:docPartObj>
        <w:docPartGallery w:val="Page Numbers (Bottom of Page)"/>
        <w:docPartUnique/>
      </w:docPartObj>
    </w:sdtPr>
    <w:sdtEndPr>
      <w:rPr>
        <w:noProof/>
        <w:sz w:val="20"/>
        <w:szCs w:val="20"/>
      </w:rPr>
    </w:sdtEndPr>
    <w:sdtContent>
      <w:p w14:paraId="681C713A" w14:textId="2FE83330" w:rsidR="00537E71" w:rsidRPr="00537E71" w:rsidRDefault="00537E71" w:rsidP="00537E71">
        <w:pPr>
          <w:pStyle w:val="ad"/>
          <w:jc w:val="center"/>
          <w:rPr>
            <w:sz w:val="20"/>
            <w:szCs w:val="20"/>
          </w:rPr>
        </w:pPr>
        <w:r w:rsidRPr="00537E71">
          <w:rPr>
            <w:sz w:val="20"/>
            <w:szCs w:val="20"/>
          </w:rPr>
          <w:t xml:space="preserve">Page </w:t>
        </w:r>
        <w:r w:rsidRPr="00537E71">
          <w:rPr>
            <w:sz w:val="20"/>
            <w:szCs w:val="20"/>
          </w:rPr>
          <w:fldChar w:fldCharType="begin"/>
        </w:r>
        <w:r w:rsidRPr="00537E71">
          <w:rPr>
            <w:sz w:val="20"/>
            <w:szCs w:val="20"/>
          </w:rPr>
          <w:instrText xml:space="preserve"> PAGE   \* MERGEFORMAT </w:instrText>
        </w:r>
        <w:r w:rsidRPr="00537E71">
          <w:rPr>
            <w:sz w:val="20"/>
            <w:szCs w:val="20"/>
          </w:rPr>
          <w:fldChar w:fldCharType="separate"/>
        </w:r>
        <w:r w:rsidR="00DA0189">
          <w:rPr>
            <w:noProof/>
            <w:sz w:val="20"/>
            <w:szCs w:val="20"/>
          </w:rPr>
          <w:t>3</w:t>
        </w:r>
        <w:r w:rsidRPr="00537E71">
          <w:rPr>
            <w:noProof/>
            <w:sz w:val="20"/>
            <w:szCs w:val="20"/>
          </w:rPr>
          <w:fldChar w:fldCharType="end"/>
        </w:r>
        <w:r w:rsidRPr="00537E71">
          <w:rPr>
            <w:noProof/>
            <w:sz w:val="20"/>
            <w:szCs w:val="20"/>
          </w:rPr>
          <w:t>/</w:t>
        </w:r>
        <w:r w:rsidR="00353C8E">
          <w:rPr>
            <w:noProof/>
            <w:sz w:val="20"/>
            <w:szCs w:val="20"/>
          </w:rPr>
          <w:t>5</w:t>
        </w:r>
      </w:p>
    </w:sdtContent>
  </w:sdt>
  <w:p w14:paraId="26309CDB" w14:textId="77777777" w:rsidR="00537E71" w:rsidRDefault="00537E71">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D3826C" w14:textId="77777777" w:rsidR="00C03682" w:rsidRDefault="00C03682" w:rsidP="00537E71">
      <w:r>
        <w:separator/>
      </w:r>
    </w:p>
  </w:footnote>
  <w:footnote w:type="continuationSeparator" w:id="0">
    <w:p w14:paraId="3C722E3B" w14:textId="77777777" w:rsidR="00C03682" w:rsidRDefault="00C03682" w:rsidP="00537E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47365C3"/>
    <w:multiLevelType w:val="hybridMultilevel"/>
    <w:tmpl w:val="74CAD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813BD"/>
    <w:multiLevelType w:val="hybridMultilevel"/>
    <w:tmpl w:val="B6881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FF3536"/>
    <w:multiLevelType w:val="hybridMultilevel"/>
    <w:tmpl w:val="08DA0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F3F7600"/>
    <w:multiLevelType w:val="multilevel"/>
    <w:tmpl w:val="AA483BEE"/>
    <w:lvl w:ilvl="0">
      <w:start w:val="1"/>
      <w:numFmt w:val="decimal"/>
      <w:pStyle w:val="1"/>
      <w:lvlText w:val="%1."/>
      <w:lvlJc w:val="left"/>
      <w:pPr>
        <w:tabs>
          <w:tab w:val="num" w:pos="425"/>
        </w:tabs>
        <w:ind w:left="425" w:hanging="425"/>
      </w:pPr>
      <w:rPr>
        <w:rFonts w:hint="eastAsia"/>
        <w:i w:val="0"/>
      </w:rPr>
    </w:lvl>
    <w:lvl w:ilvl="1">
      <w:start w:val="1"/>
      <w:numFmt w:val="decimal"/>
      <w:pStyle w:val="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 w15:restartNumberingAfterBreak="0">
    <w:nsid w:val="20CB32B0"/>
    <w:multiLevelType w:val="hybridMultilevel"/>
    <w:tmpl w:val="A3A46D4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D1B0474"/>
    <w:multiLevelType w:val="hybridMultilevel"/>
    <w:tmpl w:val="04488B38"/>
    <w:lvl w:ilvl="0" w:tplc="E17AB30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4"/>
  </w:num>
  <w:num w:numId="4">
    <w:abstractNumId w:val="7"/>
  </w:num>
  <w:num w:numId="5">
    <w:abstractNumId w:val="10"/>
  </w:num>
  <w:num w:numId="6">
    <w:abstractNumId w:val="14"/>
  </w:num>
  <w:num w:numId="7">
    <w:abstractNumId w:val="15"/>
  </w:num>
  <w:num w:numId="8">
    <w:abstractNumId w:val="5"/>
  </w:num>
  <w:num w:numId="9">
    <w:abstractNumId w:val="2"/>
  </w:num>
  <w:num w:numId="10">
    <w:abstractNumId w:val="1"/>
  </w:num>
  <w:num w:numId="11">
    <w:abstractNumId w:val="3"/>
  </w:num>
  <w:num w:numId="12">
    <w:abstractNumId w:val="13"/>
  </w:num>
  <w:num w:numId="13">
    <w:abstractNumId w:val="12"/>
  </w:num>
  <w:num w:numId="14">
    <w:abstractNumId w:val="0"/>
  </w:num>
  <w:num w:numId="15">
    <w:abstractNumId w:val="8"/>
  </w:num>
  <w:num w:numId="16">
    <w:abstractNumId w:val="11"/>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36C"/>
    <w:rsid w:val="00000858"/>
    <w:rsid w:val="00002C4B"/>
    <w:rsid w:val="000045A9"/>
    <w:rsid w:val="00006008"/>
    <w:rsid w:val="00006652"/>
    <w:rsid w:val="00007353"/>
    <w:rsid w:val="000100ED"/>
    <w:rsid w:val="00012286"/>
    <w:rsid w:val="00012620"/>
    <w:rsid w:val="00020745"/>
    <w:rsid w:val="00022D7B"/>
    <w:rsid w:val="000241B6"/>
    <w:rsid w:val="000252C7"/>
    <w:rsid w:val="000275CE"/>
    <w:rsid w:val="00030E45"/>
    <w:rsid w:val="0003530B"/>
    <w:rsid w:val="00040C03"/>
    <w:rsid w:val="000413E6"/>
    <w:rsid w:val="000413E7"/>
    <w:rsid w:val="00042F46"/>
    <w:rsid w:val="00043263"/>
    <w:rsid w:val="00044C54"/>
    <w:rsid w:val="00045384"/>
    <w:rsid w:val="00045E57"/>
    <w:rsid w:val="00047038"/>
    <w:rsid w:val="000479BC"/>
    <w:rsid w:val="000538AB"/>
    <w:rsid w:val="00056F51"/>
    <w:rsid w:val="000572A3"/>
    <w:rsid w:val="00062F64"/>
    <w:rsid w:val="00063CBD"/>
    <w:rsid w:val="00066736"/>
    <w:rsid w:val="00071AC4"/>
    <w:rsid w:val="00073367"/>
    <w:rsid w:val="00074D94"/>
    <w:rsid w:val="00077429"/>
    <w:rsid w:val="00080F64"/>
    <w:rsid w:val="00084820"/>
    <w:rsid w:val="0008494E"/>
    <w:rsid w:val="00084A61"/>
    <w:rsid w:val="00084E1D"/>
    <w:rsid w:val="00090261"/>
    <w:rsid w:val="00090B2B"/>
    <w:rsid w:val="00092AA3"/>
    <w:rsid w:val="00093666"/>
    <w:rsid w:val="000965DC"/>
    <w:rsid w:val="00096B99"/>
    <w:rsid w:val="00096EC1"/>
    <w:rsid w:val="000973F6"/>
    <w:rsid w:val="000A1118"/>
    <w:rsid w:val="000A1B5B"/>
    <w:rsid w:val="000A233E"/>
    <w:rsid w:val="000A25E5"/>
    <w:rsid w:val="000A2842"/>
    <w:rsid w:val="000A390F"/>
    <w:rsid w:val="000A3D74"/>
    <w:rsid w:val="000A4EFD"/>
    <w:rsid w:val="000A5139"/>
    <w:rsid w:val="000A5D10"/>
    <w:rsid w:val="000A6CBB"/>
    <w:rsid w:val="000A7265"/>
    <w:rsid w:val="000B023C"/>
    <w:rsid w:val="000B23BE"/>
    <w:rsid w:val="000B4FC3"/>
    <w:rsid w:val="000B53F8"/>
    <w:rsid w:val="000B5E42"/>
    <w:rsid w:val="000B7718"/>
    <w:rsid w:val="000C00EA"/>
    <w:rsid w:val="000C018A"/>
    <w:rsid w:val="000C18F6"/>
    <w:rsid w:val="000C2129"/>
    <w:rsid w:val="000C23DD"/>
    <w:rsid w:val="000C389D"/>
    <w:rsid w:val="000C437E"/>
    <w:rsid w:val="000C5788"/>
    <w:rsid w:val="000C793D"/>
    <w:rsid w:val="000C7AE4"/>
    <w:rsid w:val="000D0756"/>
    <w:rsid w:val="000D079C"/>
    <w:rsid w:val="000D62B0"/>
    <w:rsid w:val="000E1AFC"/>
    <w:rsid w:val="000E2E4A"/>
    <w:rsid w:val="000E5175"/>
    <w:rsid w:val="000F158A"/>
    <w:rsid w:val="000F15D6"/>
    <w:rsid w:val="000F1BF0"/>
    <w:rsid w:val="000F2CE9"/>
    <w:rsid w:val="000F2DD5"/>
    <w:rsid w:val="000F4525"/>
    <w:rsid w:val="000F4EEC"/>
    <w:rsid w:val="000F6695"/>
    <w:rsid w:val="000F6EB9"/>
    <w:rsid w:val="000F7C77"/>
    <w:rsid w:val="00100732"/>
    <w:rsid w:val="001016D2"/>
    <w:rsid w:val="00103DC8"/>
    <w:rsid w:val="00106FED"/>
    <w:rsid w:val="00110335"/>
    <w:rsid w:val="00111437"/>
    <w:rsid w:val="0012284E"/>
    <w:rsid w:val="00124646"/>
    <w:rsid w:val="0012581A"/>
    <w:rsid w:val="001270DF"/>
    <w:rsid w:val="00134258"/>
    <w:rsid w:val="00135377"/>
    <w:rsid w:val="00135EEF"/>
    <w:rsid w:val="00136892"/>
    <w:rsid w:val="00136991"/>
    <w:rsid w:val="00137BF7"/>
    <w:rsid w:val="00141046"/>
    <w:rsid w:val="00142CCF"/>
    <w:rsid w:val="00144758"/>
    <w:rsid w:val="001447E5"/>
    <w:rsid w:val="00146C64"/>
    <w:rsid w:val="00152821"/>
    <w:rsid w:val="001545A9"/>
    <w:rsid w:val="00156460"/>
    <w:rsid w:val="00157C3C"/>
    <w:rsid w:val="00170E62"/>
    <w:rsid w:val="00171BD3"/>
    <w:rsid w:val="0017442E"/>
    <w:rsid w:val="001758DE"/>
    <w:rsid w:val="0017727B"/>
    <w:rsid w:val="00177C3C"/>
    <w:rsid w:val="00183A18"/>
    <w:rsid w:val="00190889"/>
    <w:rsid w:val="00190B38"/>
    <w:rsid w:val="00192683"/>
    <w:rsid w:val="00192959"/>
    <w:rsid w:val="00194A0F"/>
    <w:rsid w:val="00195650"/>
    <w:rsid w:val="001A0C26"/>
    <w:rsid w:val="001A43D4"/>
    <w:rsid w:val="001A62A1"/>
    <w:rsid w:val="001B0CDB"/>
    <w:rsid w:val="001B2ED3"/>
    <w:rsid w:val="001B39EA"/>
    <w:rsid w:val="001B4D72"/>
    <w:rsid w:val="001B55CD"/>
    <w:rsid w:val="001B61B4"/>
    <w:rsid w:val="001B7060"/>
    <w:rsid w:val="001B7061"/>
    <w:rsid w:val="001C086E"/>
    <w:rsid w:val="001C151A"/>
    <w:rsid w:val="001C2B5C"/>
    <w:rsid w:val="001C384D"/>
    <w:rsid w:val="001C5AFF"/>
    <w:rsid w:val="001D0009"/>
    <w:rsid w:val="001D0EA3"/>
    <w:rsid w:val="001D260D"/>
    <w:rsid w:val="001D2783"/>
    <w:rsid w:val="001D55F7"/>
    <w:rsid w:val="001D7B9C"/>
    <w:rsid w:val="001E02F6"/>
    <w:rsid w:val="001E0797"/>
    <w:rsid w:val="001E1CC7"/>
    <w:rsid w:val="001E28D5"/>
    <w:rsid w:val="001E3561"/>
    <w:rsid w:val="001E6823"/>
    <w:rsid w:val="001E6D90"/>
    <w:rsid w:val="001F17B0"/>
    <w:rsid w:val="001F1DFA"/>
    <w:rsid w:val="001F35F5"/>
    <w:rsid w:val="001F429A"/>
    <w:rsid w:val="001F65D5"/>
    <w:rsid w:val="001F6BEC"/>
    <w:rsid w:val="002007EE"/>
    <w:rsid w:val="0020163B"/>
    <w:rsid w:val="002017E8"/>
    <w:rsid w:val="00201B2C"/>
    <w:rsid w:val="002025CD"/>
    <w:rsid w:val="0020661B"/>
    <w:rsid w:val="002107E3"/>
    <w:rsid w:val="002118E8"/>
    <w:rsid w:val="00211EDD"/>
    <w:rsid w:val="00212166"/>
    <w:rsid w:val="00213011"/>
    <w:rsid w:val="00213F91"/>
    <w:rsid w:val="002141A1"/>
    <w:rsid w:val="002142FB"/>
    <w:rsid w:val="00214DED"/>
    <w:rsid w:val="002204FB"/>
    <w:rsid w:val="002214DD"/>
    <w:rsid w:val="00224142"/>
    <w:rsid w:val="002276C5"/>
    <w:rsid w:val="0022771B"/>
    <w:rsid w:val="002277ED"/>
    <w:rsid w:val="00233200"/>
    <w:rsid w:val="00235D23"/>
    <w:rsid w:val="0023600E"/>
    <w:rsid w:val="00236613"/>
    <w:rsid w:val="00240180"/>
    <w:rsid w:val="0024263C"/>
    <w:rsid w:val="00245F41"/>
    <w:rsid w:val="002542E3"/>
    <w:rsid w:val="00255203"/>
    <w:rsid w:val="00256399"/>
    <w:rsid w:val="00256778"/>
    <w:rsid w:val="00262FCA"/>
    <w:rsid w:val="002643DA"/>
    <w:rsid w:val="0026456C"/>
    <w:rsid w:val="002700A4"/>
    <w:rsid w:val="0027212B"/>
    <w:rsid w:val="002724FB"/>
    <w:rsid w:val="002755FE"/>
    <w:rsid w:val="0028070A"/>
    <w:rsid w:val="002810AD"/>
    <w:rsid w:val="00286584"/>
    <w:rsid w:val="00295972"/>
    <w:rsid w:val="00295D9A"/>
    <w:rsid w:val="002978F6"/>
    <w:rsid w:val="002A0659"/>
    <w:rsid w:val="002A27EE"/>
    <w:rsid w:val="002A42C1"/>
    <w:rsid w:val="002A6A6E"/>
    <w:rsid w:val="002A701F"/>
    <w:rsid w:val="002B025C"/>
    <w:rsid w:val="002B2ABC"/>
    <w:rsid w:val="002B2C43"/>
    <w:rsid w:val="002B4AE4"/>
    <w:rsid w:val="002C2981"/>
    <w:rsid w:val="002C5BEE"/>
    <w:rsid w:val="002C7686"/>
    <w:rsid w:val="002C76AC"/>
    <w:rsid w:val="002D315A"/>
    <w:rsid w:val="002D4492"/>
    <w:rsid w:val="002D6D39"/>
    <w:rsid w:val="002E4B09"/>
    <w:rsid w:val="002E62A3"/>
    <w:rsid w:val="002E7077"/>
    <w:rsid w:val="002F1AD9"/>
    <w:rsid w:val="002F2442"/>
    <w:rsid w:val="002F2D0C"/>
    <w:rsid w:val="002F349A"/>
    <w:rsid w:val="002F419F"/>
    <w:rsid w:val="002F4683"/>
    <w:rsid w:val="002F52E8"/>
    <w:rsid w:val="002F5A67"/>
    <w:rsid w:val="002F64DB"/>
    <w:rsid w:val="002F7C28"/>
    <w:rsid w:val="00300111"/>
    <w:rsid w:val="003033D6"/>
    <w:rsid w:val="00303B06"/>
    <w:rsid w:val="00310331"/>
    <w:rsid w:val="0031251D"/>
    <w:rsid w:val="00312581"/>
    <w:rsid w:val="0031414C"/>
    <w:rsid w:val="00316A59"/>
    <w:rsid w:val="00316C61"/>
    <w:rsid w:val="00320166"/>
    <w:rsid w:val="00320F5C"/>
    <w:rsid w:val="003227CE"/>
    <w:rsid w:val="00324928"/>
    <w:rsid w:val="003250D8"/>
    <w:rsid w:val="00326754"/>
    <w:rsid w:val="00327E99"/>
    <w:rsid w:val="003336E5"/>
    <w:rsid w:val="00333C23"/>
    <w:rsid w:val="00334BBF"/>
    <w:rsid w:val="00334CCC"/>
    <w:rsid w:val="003351F4"/>
    <w:rsid w:val="00335778"/>
    <w:rsid w:val="00336D54"/>
    <w:rsid w:val="003405A4"/>
    <w:rsid w:val="00343CBB"/>
    <w:rsid w:val="0034471B"/>
    <w:rsid w:val="00345A68"/>
    <w:rsid w:val="003475F9"/>
    <w:rsid w:val="00347D08"/>
    <w:rsid w:val="003527C8"/>
    <w:rsid w:val="00353C8E"/>
    <w:rsid w:val="0035427F"/>
    <w:rsid w:val="00354E57"/>
    <w:rsid w:val="0035566D"/>
    <w:rsid w:val="00356BEE"/>
    <w:rsid w:val="00361F55"/>
    <w:rsid w:val="00363412"/>
    <w:rsid w:val="00363670"/>
    <w:rsid w:val="00363D21"/>
    <w:rsid w:val="00363F36"/>
    <w:rsid w:val="00364DB3"/>
    <w:rsid w:val="0036778F"/>
    <w:rsid w:val="0037079A"/>
    <w:rsid w:val="00371168"/>
    <w:rsid w:val="00373E78"/>
    <w:rsid w:val="00374AFD"/>
    <w:rsid w:val="003757C8"/>
    <w:rsid w:val="0037617D"/>
    <w:rsid w:val="00384B0A"/>
    <w:rsid w:val="00385E58"/>
    <w:rsid w:val="00393364"/>
    <w:rsid w:val="00397210"/>
    <w:rsid w:val="003A013F"/>
    <w:rsid w:val="003A13A6"/>
    <w:rsid w:val="003A2689"/>
    <w:rsid w:val="003A28A3"/>
    <w:rsid w:val="003A394B"/>
    <w:rsid w:val="003A3D66"/>
    <w:rsid w:val="003A4473"/>
    <w:rsid w:val="003A4623"/>
    <w:rsid w:val="003B0DFA"/>
    <w:rsid w:val="003B12CD"/>
    <w:rsid w:val="003B3E2E"/>
    <w:rsid w:val="003B6D6D"/>
    <w:rsid w:val="003B7C3E"/>
    <w:rsid w:val="003C0FE0"/>
    <w:rsid w:val="003C202F"/>
    <w:rsid w:val="003C4A58"/>
    <w:rsid w:val="003C538C"/>
    <w:rsid w:val="003C5598"/>
    <w:rsid w:val="003C66BF"/>
    <w:rsid w:val="003C6DD0"/>
    <w:rsid w:val="003D010A"/>
    <w:rsid w:val="003D4121"/>
    <w:rsid w:val="003D7CA4"/>
    <w:rsid w:val="003E11BF"/>
    <w:rsid w:val="003E4C90"/>
    <w:rsid w:val="003F21AD"/>
    <w:rsid w:val="003F3F2C"/>
    <w:rsid w:val="003F4055"/>
    <w:rsid w:val="003F603C"/>
    <w:rsid w:val="003F62B7"/>
    <w:rsid w:val="00403D55"/>
    <w:rsid w:val="004044BE"/>
    <w:rsid w:val="00405143"/>
    <w:rsid w:val="00405F29"/>
    <w:rsid w:val="004107C3"/>
    <w:rsid w:val="00411516"/>
    <w:rsid w:val="00411E81"/>
    <w:rsid w:val="00413BD2"/>
    <w:rsid w:val="00413C33"/>
    <w:rsid w:val="00414A38"/>
    <w:rsid w:val="00415C33"/>
    <w:rsid w:val="00417A8D"/>
    <w:rsid w:val="00421C82"/>
    <w:rsid w:val="0042275D"/>
    <w:rsid w:val="00422EFF"/>
    <w:rsid w:val="004244A7"/>
    <w:rsid w:val="0042613E"/>
    <w:rsid w:val="00426DDE"/>
    <w:rsid w:val="00427E20"/>
    <w:rsid w:val="004333A5"/>
    <w:rsid w:val="00443651"/>
    <w:rsid w:val="004452EF"/>
    <w:rsid w:val="004465CF"/>
    <w:rsid w:val="0044732D"/>
    <w:rsid w:val="00450428"/>
    <w:rsid w:val="004513F2"/>
    <w:rsid w:val="004519AA"/>
    <w:rsid w:val="0046112B"/>
    <w:rsid w:val="00463BA2"/>
    <w:rsid w:val="00464307"/>
    <w:rsid w:val="0047170C"/>
    <w:rsid w:val="00471FA6"/>
    <w:rsid w:val="00473DF7"/>
    <w:rsid w:val="00474AB1"/>
    <w:rsid w:val="0048169B"/>
    <w:rsid w:val="004841C9"/>
    <w:rsid w:val="00491BAD"/>
    <w:rsid w:val="00495CC7"/>
    <w:rsid w:val="004A5493"/>
    <w:rsid w:val="004A6506"/>
    <w:rsid w:val="004A670A"/>
    <w:rsid w:val="004A6EE2"/>
    <w:rsid w:val="004B17E5"/>
    <w:rsid w:val="004B6A7A"/>
    <w:rsid w:val="004C0911"/>
    <w:rsid w:val="004C0F81"/>
    <w:rsid w:val="004C185E"/>
    <w:rsid w:val="004D1F37"/>
    <w:rsid w:val="004D2AB8"/>
    <w:rsid w:val="004D4785"/>
    <w:rsid w:val="004D52E8"/>
    <w:rsid w:val="004D6B52"/>
    <w:rsid w:val="004D7D51"/>
    <w:rsid w:val="004E037B"/>
    <w:rsid w:val="004E03D2"/>
    <w:rsid w:val="004E297D"/>
    <w:rsid w:val="004E3F18"/>
    <w:rsid w:val="004E4009"/>
    <w:rsid w:val="004E5423"/>
    <w:rsid w:val="004E7831"/>
    <w:rsid w:val="004F57F2"/>
    <w:rsid w:val="004F5DDA"/>
    <w:rsid w:val="004F67E7"/>
    <w:rsid w:val="004F715A"/>
    <w:rsid w:val="004F74AE"/>
    <w:rsid w:val="004F76C9"/>
    <w:rsid w:val="00500466"/>
    <w:rsid w:val="005014DF"/>
    <w:rsid w:val="00504870"/>
    <w:rsid w:val="0050791A"/>
    <w:rsid w:val="00511D2A"/>
    <w:rsid w:val="00512031"/>
    <w:rsid w:val="005137DD"/>
    <w:rsid w:val="00514E2C"/>
    <w:rsid w:val="00515512"/>
    <w:rsid w:val="00517078"/>
    <w:rsid w:val="00517524"/>
    <w:rsid w:val="00520BF8"/>
    <w:rsid w:val="00521281"/>
    <w:rsid w:val="00522548"/>
    <w:rsid w:val="005226F2"/>
    <w:rsid w:val="00524121"/>
    <w:rsid w:val="00526D49"/>
    <w:rsid w:val="0053338F"/>
    <w:rsid w:val="00535CB8"/>
    <w:rsid w:val="005363FF"/>
    <w:rsid w:val="00536CEE"/>
    <w:rsid w:val="00537E71"/>
    <w:rsid w:val="005418B2"/>
    <w:rsid w:val="00543388"/>
    <w:rsid w:val="00544477"/>
    <w:rsid w:val="0054593B"/>
    <w:rsid w:val="0054697F"/>
    <w:rsid w:val="0054729A"/>
    <w:rsid w:val="00550ABD"/>
    <w:rsid w:val="0055798C"/>
    <w:rsid w:val="00560113"/>
    <w:rsid w:val="00560BAE"/>
    <w:rsid w:val="00562AC4"/>
    <w:rsid w:val="005678B7"/>
    <w:rsid w:val="00574529"/>
    <w:rsid w:val="00580558"/>
    <w:rsid w:val="00587632"/>
    <w:rsid w:val="005903BF"/>
    <w:rsid w:val="005953E6"/>
    <w:rsid w:val="005A222E"/>
    <w:rsid w:val="005A3645"/>
    <w:rsid w:val="005A4CF8"/>
    <w:rsid w:val="005A52CD"/>
    <w:rsid w:val="005B0DEC"/>
    <w:rsid w:val="005B0ED3"/>
    <w:rsid w:val="005B41D7"/>
    <w:rsid w:val="005B5F98"/>
    <w:rsid w:val="005B7021"/>
    <w:rsid w:val="005C3F07"/>
    <w:rsid w:val="005C62C8"/>
    <w:rsid w:val="005D0863"/>
    <w:rsid w:val="005D31EE"/>
    <w:rsid w:val="005D4B8B"/>
    <w:rsid w:val="005D5C0A"/>
    <w:rsid w:val="005D6D5A"/>
    <w:rsid w:val="005D7ED0"/>
    <w:rsid w:val="005E18FB"/>
    <w:rsid w:val="005E2A0C"/>
    <w:rsid w:val="005E4E07"/>
    <w:rsid w:val="005E54AE"/>
    <w:rsid w:val="005E5943"/>
    <w:rsid w:val="005E603F"/>
    <w:rsid w:val="005E6C3B"/>
    <w:rsid w:val="005E7D84"/>
    <w:rsid w:val="005F0590"/>
    <w:rsid w:val="005F1D3A"/>
    <w:rsid w:val="005F4DF4"/>
    <w:rsid w:val="005F4F83"/>
    <w:rsid w:val="005F5693"/>
    <w:rsid w:val="005F56F2"/>
    <w:rsid w:val="005F733A"/>
    <w:rsid w:val="00600F00"/>
    <w:rsid w:val="006013E3"/>
    <w:rsid w:val="0060267D"/>
    <w:rsid w:val="00602684"/>
    <w:rsid w:val="00603514"/>
    <w:rsid w:val="006055AB"/>
    <w:rsid w:val="006065FC"/>
    <w:rsid w:val="00611884"/>
    <w:rsid w:val="00611AEE"/>
    <w:rsid w:val="00612CE5"/>
    <w:rsid w:val="0061472F"/>
    <w:rsid w:val="00614770"/>
    <w:rsid w:val="00614845"/>
    <w:rsid w:val="006170F2"/>
    <w:rsid w:val="00617132"/>
    <w:rsid w:val="00617787"/>
    <w:rsid w:val="00624497"/>
    <w:rsid w:val="00626859"/>
    <w:rsid w:val="006320A2"/>
    <w:rsid w:val="00632F19"/>
    <w:rsid w:val="00633EF5"/>
    <w:rsid w:val="00640634"/>
    <w:rsid w:val="00645AE8"/>
    <w:rsid w:val="00647C97"/>
    <w:rsid w:val="00651A02"/>
    <w:rsid w:val="006634CC"/>
    <w:rsid w:val="00666EBA"/>
    <w:rsid w:val="00667A38"/>
    <w:rsid w:val="0067002C"/>
    <w:rsid w:val="006729C7"/>
    <w:rsid w:val="0067477F"/>
    <w:rsid w:val="006753F0"/>
    <w:rsid w:val="0067725C"/>
    <w:rsid w:val="00681A4C"/>
    <w:rsid w:val="00681BB2"/>
    <w:rsid w:val="00684D17"/>
    <w:rsid w:val="0068569F"/>
    <w:rsid w:val="0068748F"/>
    <w:rsid w:val="006874F4"/>
    <w:rsid w:val="00690117"/>
    <w:rsid w:val="0069088F"/>
    <w:rsid w:val="00691E73"/>
    <w:rsid w:val="0069263A"/>
    <w:rsid w:val="00692F08"/>
    <w:rsid w:val="0069713E"/>
    <w:rsid w:val="00697725"/>
    <w:rsid w:val="006A0CC1"/>
    <w:rsid w:val="006A0EA2"/>
    <w:rsid w:val="006A1D8B"/>
    <w:rsid w:val="006A5630"/>
    <w:rsid w:val="006A565B"/>
    <w:rsid w:val="006A58ED"/>
    <w:rsid w:val="006A6221"/>
    <w:rsid w:val="006A713E"/>
    <w:rsid w:val="006A79F4"/>
    <w:rsid w:val="006B471E"/>
    <w:rsid w:val="006B5ECA"/>
    <w:rsid w:val="006B6F7B"/>
    <w:rsid w:val="006C1108"/>
    <w:rsid w:val="006C3F1F"/>
    <w:rsid w:val="006D19C9"/>
    <w:rsid w:val="006D1C6D"/>
    <w:rsid w:val="006D22F7"/>
    <w:rsid w:val="006D2B42"/>
    <w:rsid w:val="006D3166"/>
    <w:rsid w:val="006D56AC"/>
    <w:rsid w:val="006D57BA"/>
    <w:rsid w:val="006E2C6F"/>
    <w:rsid w:val="006E45AE"/>
    <w:rsid w:val="006E5259"/>
    <w:rsid w:val="006E61E0"/>
    <w:rsid w:val="006E653E"/>
    <w:rsid w:val="006E673A"/>
    <w:rsid w:val="006F6050"/>
    <w:rsid w:val="006F6E8D"/>
    <w:rsid w:val="006F7FAB"/>
    <w:rsid w:val="00701384"/>
    <w:rsid w:val="007052D5"/>
    <w:rsid w:val="007057A9"/>
    <w:rsid w:val="00705A3A"/>
    <w:rsid w:val="0071122E"/>
    <w:rsid w:val="0071277C"/>
    <w:rsid w:val="00715D7A"/>
    <w:rsid w:val="007237E2"/>
    <w:rsid w:val="00724BD1"/>
    <w:rsid w:val="0072662E"/>
    <w:rsid w:val="007278B7"/>
    <w:rsid w:val="00727968"/>
    <w:rsid w:val="00732521"/>
    <w:rsid w:val="007363F8"/>
    <w:rsid w:val="0073683A"/>
    <w:rsid w:val="007368B2"/>
    <w:rsid w:val="00736B4E"/>
    <w:rsid w:val="007371F1"/>
    <w:rsid w:val="007375B0"/>
    <w:rsid w:val="007379F0"/>
    <w:rsid w:val="00741B92"/>
    <w:rsid w:val="00746D20"/>
    <w:rsid w:val="00746D93"/>
    <w:rsid w:val="00747EB6"/>
    <w:rsid w:val="00751AB9"/>
    <w:rsid w:val="00752163"/>
    <w:rsid w:val="007561D2"/>
    <w:rsid w:val="00756928"/>
    <w:rsid w:val="00763E34"/>
    <w:rsid w:val="007702C9"/>
    <w:rsid w:val="0077483C"/>
    <w:rsid w:val="00775570"/>
    <w:rsid w:val="007760C5"/>
    <w:rsid w:val="00784533"/>
    <w:rsid w:val="00786446"/>
    <w:rsid w:val="00786DFB"/>
    <w:rsid w:val="0079059D"/>
    <w:rsid w:val="0079114C"/>
    <w:rsid w:val="00791A14"/>
    <w:rsid w:val="00791AC2"/>
    <w:rsid w:val="007923B7"/>
    <w:rsid w:val="00796400"/>
    <w:rsid w:val="00796B45"/>
    <w:rsid w:val="00796EBC"/>
    <w:rsid w:val="00797BFA"/>
    <w:rsid w:val="007A028B"/>
    <w:rsid w:val="007A1CF5"/>
    <w:rsid w:val="007A3D5A"/>
    <w:rsid w:val="007A3DAA"/>
    <w:rsid w:val="007A4968"/>
    <w:rsid w:val="007A5DBA"/>
    <w:rsid w:val="007A62CC"/>
    <w:rsid w:val="007B08EF"/>
    <w:rsid w:val="007B1EEE"/>
    <w:rsid w:val="007B3CBD"/>
    <w:rsid w:val="007B703A"/>
    <w:rsid w:val="007C042F"/>
    <w:rsid w:val="007C16AC"/>
    <w:rsid w:val="007C33A9"/>
    <w:rsid w:val="007C72D9"/>
    <w:rsid w:val="007D0669"/>
    <w:rsid w:val="007D2ABB"/>
    <w:rsid w:val="007D539F"/>
    <w:rsid w:val="007E0202"/>
    <w:rsid w:val="007E03EA"/>
    <w:rsid w:val="007E0B13"/>
    <w:rsid w:val="007E13D1"/>
    <w:rsid w:val="007E1895"/>
    <w:rsid w:val="007E26BC"/>
    <w:rsid w:val="007E3CD2"/>
    <w:rsid w:val="007E6F22"/>
    <w:rsid w:val="007F0F6A"/>
    <w:rsid w:val="007F2FD5"/>
    <w:rsid w:val="007F4A0A"/>
    <w:rsid w:val="007F5949"/>
    <w:rsid w:val="007F7AD4"/>
    <w:rsid w:val="00800181"/>
    <w:rsid w:val="00801301"/>
    <w:rsid w:val="008029A3"/>
    <w:rsid w:val="008118F4"/>
    <w:rsid w:val="0081249C"/>
    <w:rsid w:val="00814695"/>
    <w:rsid w:val="0081481F"/>
    <w:rsid w:val="0081645F"/>
    <w:rsid w:val="008236E7"/>
    <w:rsid w:val="00825F64"/>
    <w:rsid w:val="008274CB"/>
    <w:rsid w:val="0083442C"/>
    <w:rsid w:val="008368C8"/>
    <w:rsid w:val="00841F6A"/>
    <w:rsid w:val="0084257B"/>
    <w:rsid w:val="0084290B"/>
    <w:rsid w:val="00844B7E"/>
    <w:rsid w:val="00845991"/>
    <w:rsid w:val="00850CA6"/>
    <w:rsid w:val="00851A4E"/>
    <w:rsid w:val="00857213"/>
    <w:rsid w:val="0085747A"/>
    <w:rsid w:val="00860D49"/>
    <w:rsid w:val="0086213D"/>
    <w:rsid w:val="008626ED"/>
    <w:rsid w:val="008651A6"/>
    <w:rsid w:val="008701EF"/>
    <w:rsid w:val="008707B6"/>
    <w:rsid w:val="008707EA"/>
    <w:rsid w:val="00871657"/>
    <w:rsid w:val="008722B8"/>
    <w:rsid w:val="008744C0"/>
    <w:rsid w:val="00875244"/>
    <w:rsid w:val="00876EDC"/>
    <w:rsid w:val="008773C7"/>
    <w:rsid w:val="00890D7C"/>
    <w:rsid w:val="00891305"/>
    <w:rsid w:val="00894991"/>
    <w:rsid w:val="00894DE0"/>
    <w:rsid w:val="00895E9A"/>
    <w:rsid w:val="008A0DC8"/>
    <w:rsid w:val="008A1DFA"/>
    <w:rsid w:val="008A4691"/>
    <w:rsid w:val="008B5D42"/>
    <w:rsid w:val="008B7C07"/>
    <w:rsid w:val="008C038D"/>
    <w:rsid w:val="008C0E1E"/>
    <w:rsid w:val="008C1D50"/>
    <w:rsid w:val="008C1FD4"/>
    <w:rsid w:val="008C5288"/>
    <w:rsid w:val="008C7026"/>
    <w:rsid w:val="008D2325"/>
    <w:rsid w:val="008D4D3D"/>
    <w:rsid w:val="008D4F22"/>
    <w:rsid w:val="008D5384"/>
    <w:rsid w:val="008D6519"/>
    <w:rsid w:val="008E4617"/>
    <w:rsid w:val="008E589C"/>
    <w:rsid w:val="008F385D"/>
    <w:rsid w:val="008F67AD"/>
    <w:rsid w:val="008F6C07"/>
    <w:rsid w:val="00901198"/>
    <w:rsid w:val="0090285D"/>
    <w:rsid w:val="0090472A"/>
    <w:rsid w:val="00904A68"/>
    <w:rsid w:val="00905DF7"/>
    <w:rsid w:val="0090730C"/>
    <w:rsid w:val="00907F18"/>
    <w:rsid w:val="00916869"/>
    <w:rsid w:val="009174FA"/>
    <w:rsid w:val="009226CC"/>
    <w:rsid w:val="00925069"/>
    <w:rsid w:val="00927F8D"/>
    <w:rsid w:val="00934ABF"/>
    <w:rsid w:val="00934F73"/>
    <w:rsid w:val="0093647D"/>
    <w:rsid w:val="00937414"/>
    <w:rsid w:val="0093799E"/>
    <w:rsid w:val="00937DE3"/>
    <w:rsid w:val="0094473D"/>
    <w:rsid w:val="009454DD"/>
    <w:rsid w:val="00946724"/>
    <w:rsid w:val="00946FDD"/>
    <w:rsid w:val="0095148A"/>
    <w:rsid w:val="00951C5A"/>
    <w:rsid w:val="00952304"/>
    <w:rsid w:val="009534C2"/>
    <w:rsid w:val="0095549A"/>
    <w:rsid w:val="00956352"/>
    <w:rsid w:val="009573DF"/>
    <w:rsid w:val="0096234D"/>
    <w:rsid w:val="0096315A"/>
    <w:rsid w:val="00964340"/>
    <w:rsid w:val="009668DF"/>
    <w:rsid w:val="0096755B"/>
    <w:rsid w:val="00971CD8"/>
    <w:rsid w:val="00971CF9"/>
    <w:rsid w:val="00976EBF"/>
    <w:rsid w:val="00986A7A"/>
    <w:rsid w:val="00987B03"/>
    <w:rsid w:val="009917F6"/>
    <w:rsid w:val="00991FA3"/>
    <w:rsid w:val="00992B14"/>
    <w:rsid w:val="00992C36"/>
    <w:rsid w:val="00995E13"/>
    <w:rsid w:val="009966D8"/>
    <w:rsid w:val="00997E52"/>
    <w:rsid w:val="009A3ADE"/>
    <w:rsid w:val="009A3EB9"/>
    <w:rsid w:val="009A4EDA"/>
    <w:rsid w:val="009A5C69"/>
    <w:rsid w:val="009A6F32"/>
    <w:rsid w:val="009A7AA7"/>
    <w:rsid w:val="009A7D32"/>
    <w:rsid w:val="009B0705"/>
    <w:rsid w:val="009B14DA"/>
    <w:rsid w:val="009B31D4"/>
    <w:rsid w:val="009B3550"/>
    <w:rsid w:val="009B5F1B"/>
    <w:rsid w:val="009C2388"/>
    <w:rsid w:val="009C649F"/>
    <w:rsid w:val="009C6F08"/>
    <w:rsid w:val="009C787B"/>
    <w:rsid w:val="009C7BA8"/>
    <w:rsid w:val="009D15D8"/>
    <w:rsid w:val="009D2DCF"/>
    <w:rsid w:val="009D7A93"/>
    <w:rsid w:val="009E040A"/>
    <w:rsid w:val="009E1479"/>
    <w:rsid w:val="009E4501"/>
    <w:rsid w:val="009E5005"/>
    <w:rsid w:val="009E56C9"/>
    <w:rsid w:val="009E7779"/>
    <w:rsid w:val="009E7858"/>
    <w:rsid w:val="009F38C1"/>
    <w:rsid w:val="009F4D2E"/>
    <w:rsid w:val="009F4D30"/>
    <w:rsid w:val="009F7477"/>
    <w:rsid w:val="00A000A0"/>
    <w:rsid w:val="00A00472"/>
    <w:rsid w:val="00A04223"/>
    <w:rsid w:val="00A052B7"/>
    <w:rsid w:val="00A0605B"/>
    <w:rsid w:val="00A06EE9"/>
    <w:rsid w:val="00A124D7"/>
    <w:rsid w:val="00A13952"/>
    <w:rsid w:val="00A21568"/>
    <w:rsid w:val="00A225A5"/>
    <w:rsid w:val="00A22626"/>
    <w:rsid w:val="00A24B09"/>
    <w:rsid w:val="00A24BBA"/>
    <w:rsid w:val="00A2523F"/>
    <w:rsid w:val="00A25C5C"/>
    <w:rsid w:val="00A267A3"/>
    <w:rsid w:val="00A27B9D"/>
    <w:rsid w:val="00A3017A"/>
    <w:rsid w:val="00A36F9A"/>
    <w:rsid w:val="00A4101A"/>
    <w:rsid w:val="00A44FC5"/>
    <w:rsid w:val="00A4562D"/>
    <w:rsid w:val="00A53B46"/>
    <w:rsid w:val="00A53D8D"/>
    <w:rsid w:val="00A546F6"/>
    <w:rsid w:val="00A55578"/>
    <w:rsid w:val="00A56FB1"/>
    <w:rsid w:val="00A60138"/>
    <w:rsid w:val="00A60367"/>
    <w:rsid w:val="00A603FF"/>
    <w:rsid w:val="00A60525"/>
    <w:rsid w:val="00A63DDC"/>
    <w:rsid w:val="00A643B4"/>
    <w:rsid w:val="00A65BF5"/>
    <w:rsid w:val="00A67D7C"/>
    <w:rsid w:val="00A71D14"/>
    <w:rsid w:val="00A71EB5"/>
    <w:rsid w:val="00A73F35"/>
    <w:rsid w:val="00A777BB"/>
    <w:rsid w:val="00A77FA8"/>
    <w:rsid w:val="00A823CC"/>
    <w:rsid w:val="00A84D31"/>
    <w:rsid w:val="00A85BCB"/>
    <w:rsid w:val="00A85E02"/>
    <w:rsid w:val="00A86361"/>
    <w:rsid w:val="00A86D4A"/>
    <w:rsid w:val="00A9108E"/>
    <w:rsid w:val="00A922DD"/>
    <w:rsid w:val="00A92D30"/>
    <w:rsid w:val="00A934CD"/>
    <w:rsid w:val="00A954D5"/>
    <w:rsid w:val="00AA147A"/>
    <w:rsid w:val="00AA3E22"/>
    <w:rsid w:val="00AA4A5D"/>
    <w:rsid w:val="00AA4D0B"/>
    <w:rsid w:val="00AA74A7"/>
    <w:rsid w:val="00AB4991"/>
    <w:rsid w:val="00AB7183"/>
    <w:rsid w:val="00AB7E56"/>
    <w:rsid w:val="00AB7FA7"/>
    <w:rsid w:val="00AC0F1E"/>
    <w:rsid w:val="00AC63A0"/>
    <w:rsid w:val="00AD079C"/>
    <w:rsid w:val="00AD2A73"/>
    <w:rsid w:val="00AD4DDA"/>
    <w:rsid w:val="00AD657C"/>
    <w:rsid w:val="00AE0516"/>
    <w:rsid w:val="00AE0EEE"/>
    <w:rsid w:val="00AE13AD"/>
    <w:rsid w:val="00AE13BC"/>
    <w:rsid w:val="00AE19FD"/>
    <w:rsid w:val="00AE1EC1"/>
    <w:rsid w:val="00AE214A"/>
    <w:rsid w:val="00AE53D7"/>
    <w:rsid w:val="00AE5E0E"/>
    <w:rsid w:val="00AE5EEF"/>
    <w:rsid w:val="00AE62BC"/>
    <w:rsid w:val="00AE6DF0"/>
    <w:rsid w:val="00AF126C"/>
    <w:rsid w:val="00AF2DE0"/>
    <w:rsid w:val="00AF346B"/>
    <w:rsid w:val="00AF366F"/>
    <w:rsid w:val="00AF5F65"/>
    <w:rsid w:val="00AF668A"/>
    <w:rsid w:val="00B0015C"/>
    <w:rsid w:val="00B00695"/>
    <w:rsid w:val="00B02ACD"/>
    <w:rsid w:val="00B044B3"/>
    <w:rsid w:val="00B04582"/>
    <w:rsid w:val="00B06F98"/>
    <w:rsid w:val="00B074B6"/>
    <w:rsid w:val="00B22102"/>
    <w:rsid w:val="00B22F3C"/>
    <w:rsid w:val="00B23F0F"/>
    <w:rsid w:val="00B31292"/>
    <w:rsid w:val="00B3131E"/>
    <w:rsid w:val="00B33604"/>
    <w:rsid w:val="00B33C3F"/>
    <w:rsid w:val="00B361E0"/>
    <w:rsid w:val="00B368ED"/>
    <w:rsid w:val="00B373FC"/>
    <w:rsid w:val="00B37A85"/>
    <w:rsid w:val="00B37A9C"/>
    <w:rsid w:val="00B42173"/>
    <w:rsid w:val="00B42678"/>
    <w:rsid w:val="00B50D78"/>
    <w:rsid w:val="00B515D9"/>
    <w:rsid w:val="00B54580"/>
    <w:rsid w:val="00B5509E"/>
    <w:rsid w:val="00B55AFA"/>
    <w:rsid w:val="00B5767E"/>
    <w:rsid w:val="00B63B1C"/>
    <w:rsid w:val="00B643BF"/>
    <w:rsid w:val="00B648D7"/>
    <w:rsid w:val="00B665B8"/>
    <w:rsid w:val="00B73542"/>
    <w:rsid w:val="00B74323"/>
    <w:rsid w:val="00B74687"/>
    <w:rsid w:val="00B770E4"/>
    <w:rsid w:val="00B77B28"/>
    <w:rsid w:val="00B8087D"/>
    <w:rsid w:val="00B81FF6"/>
    <w:rsid w:val="00B85107"/>
    <w:rsid w:val="00B87325"/>
    <w:rsid w:val="00B90767"/>
    <w:rsid w:val="00B92DDC"/>
    <w:rsid w:val="00B9581F"/>
    <w:rsid w:val="00B95DA9"/>
    <w:rsid w:val="00B964A9"/>
    <w:rsid w:val="00BA03FB"/>
    <w:rsid w:val="00BA072C"/>
    <w:rsid w:val="00BA0AF4"/>
    <w:rsid w:val="00BA294E"/>
    <w:rsid w:val="00BA5BA8"/>
    <w:rsid w:val="00BA689E"/>
    <w:rsid w:val="00BA6E1D"/>
    <w:rsid w:val="00BB68C5"/>
    <w:rsid w:val="00BB69AB"/>
    <w:rsid w:val="00BB6DD5"/>
    <w:rsid w:val="00BB756E"/>
    <w:rsid w:val="00BC0037"/>
    <w:rsid w:val="00BC1BA1"/>
    <w:rsid w:val="00BC1FA6"/>
    <w:rsid w:val="00BC2063"/>
    <w:rsid w:val="00BC5746"/>
    <w:rsid w:val="00BC5971"/>
    <w:rsid w:val="00BD28E8"/>
    <w:rsid w:val="00BD51B2"/>
    <w:rsid w:val="00BD6711"/>
    <w:rsid w:val="00BD79EE"/>
    <w:rsid w:val="00BE04DF"/>
    <w:rsid w:val="00BE062D"/>
    <w:rsid w:val="00BE0E1D"/>
    <w:rsid w:val="00BE364B"/>
    <w:rsid w:val="00BE36A6"/>
    <w:rsid w:val="00BE68A2"/>
    <w:rsid w:val="00BE7330"/>
    <w:rsid w:val="00BE7B1A"/>
    <w:rsid w:val="00BF0D23"/>
    <w:rsid w:val="00BF199B"/>
    <w:rsid w:val="00BF2826"/>
    <w:rsid w:val="00BF424D"/>
    <w:rsid w:val="00BF441E"/>
    <w:rsid w:val="00BF5A70"/>
    <w:rsid w:val="00C01078"/>
    <w:rsid w:val="00C016C8"/>
    <w:rsid w:val="00C02C61"/>
    <w:rsid w:val="00C03682"/>
    <w:rsid w:val="00C0524E"/>
    <w:rsid w:val="00C05979"/>
    <w:rsid w:val="00C06020"/>
    <w:rsid w:val="00C071ED"/>
    <w:rsid w:val="00C076B9"/>
    <w:rsid w:val="00C114F1"/>
    <w:rsid w:val="00C1197F"/>
    <w:rsid w:val="00C12ABC"/>
    <w:rsid w:val="00C27DD0"/>
    <w:rsid w:val="00C3105F"/>
    <w:rsid w:val="00C33A4F"/>
    <w:rsid w:val="00C33A9A"/>
    <w:rsid w:val="00C36B53"/>
    <w:rsid w:val="00C36D8C"/>
    <w:rsid w:val="00C405A8"/>
    <w:rsid w:val="00C4377D"/>
    <w:rsid w:val="00C43AB7"/>
    <w:rsid w:val="00C43C7E"/>
    <w:rsid w:val="00C4490D"/>
    <w:rsid w:val="00C44F80"/>
    <w:rsid w:val="00C46DB1"/>
    <w:rsid w:val="00C51ACB"/>
    <w:rsid w:val="00C55745"/>
    <w:rsid w:val="00C570E6"/>
    <w:rsid w:val="00C63432"/>
    <w:rsid w:val="00C63660"/>
    <w:rsid w:val="00C63A20"/>
    <w:rsid w:val="00C63A26"/>
    <w:rsid w:val="00C64568"/>
    <w:rsid w:val="00C65D9E"/>
    <w:rsid w:val="00C670A6"/>
    <w:rsid w:val="00C71DBF"/>
    <w:rsid w:val="00C7223C"/>
    <w:rsid w:val="00C74D67"/>
    <w:rsid w:val="00C753FF"/>
    <w:rsid w:val="00C80C66"/>
    <w:rsid w:val="00C9140A"/>
    <w:rsid w:val="00C914C4"/>
    <w:rsid w:val="00C94DEE"/>
    <w:rsid w:val="00CA01A9"/>
    <w:rsid w:val="00CA5784"/>
    <w:rsid w:val="00CA7E05"/>
    <w:rsid w:val="00CB0628"/>
    <w:rsid w:val="00CB08E1"/>
    <w:rsid w:val="00CB0E40"/>
    <w:rsid w:val="00CB0F04"/>
    <w:rsid w:val="00CB22EF"/>
    <w:rsid w:val="00CB2B7B"/>
    <w:rsid w:val="00CB2E8E"/>
    <w:rsid w:val="00CB7755"/>
    <w:rsid w:val="00CC0379"/>
    <w:rsid w:val="00CC1CCB"/>
    <w:rsid w:val="00CC1DF5"/>
    <w:rsid w:val="00CC33C2"/>
    <w:rsid w:val="00CC359F"/>
    <w:rsid w:val="00CC4273"/>
    <w:rsid w:val="00CC4B67"/>
    <w:rsid w:val="00CC6F98"/>
    <w:rsid w:val="00CD2151"/>
    <w:rsid w:val="00CE1398"/>
    <w:rsid w:val="00CE4079"/>
    <w:rsid w:val="00CE4349"/>
    <w:rsid w:val="00CE4549"/>
    <w:rsid w:val="00CF0A66"/>
    <w:rsid w:val="00CF4AB8"/>
    <w:rsid w:val="00CF518E"/>
    <w:rsid w:val="00CF5346"/>
    <w:rsid w:val="00CF691D"/>
    <w:rsid w:val="00D0007D"/>
    <w:rsid w:val="00D00471"/>
    <w:rsid w:val="00D007AB"/>
    <w:rsid w:val="00D025CE"/>
    <w:rsid w:val="00D02624"/>
    <w:rsid w:val="00D05EDC"/>
    <w:rsid w:val="00D06657"/>
    <w:rsid w:val="00D129E7"/>
    <w:rsid w:val="00D141F1"/>
    <w:rsid w:val="00D14829"/>
    <w:rsid w:val="00D14FB6"/>
    <w:rsid w:val="00D15440"/>
    <w:rsid w:val="00D1755E"/>
    <w:rsid w:val="00D21889"/>
    <w:rsid w:val="00D22591"/>
    <w:rsid w:val="00D227C5"/>
    <w:rsid w:val="00D22BB7"/>
    <w:rsid w:val="00D24DA9"/>
    <w:rsid w:val="00D25D67"/>
    <w:rsid w:val="00D26A1B"/>
    <w:rsid w:val="00D271B5"/>
    <w:rsid w:val="00D313B3"/>
    <w:rsid w:val="00D33F5C"/>
    <w:rsid w:val="00D34641"/>
    <w:rsid w:val="00D358DA"/>
    <w:rsid w:val="00D365D6"/>
    <w:rsid w:val="00D37E56"/>
    <w:rsid w:val="00D4285D"/>
    <w:rsid w:val="00D460CC"/>
    <w:rsid w:val="00D5053D"/>
    <w:rsid w:val="00D50851"/>
    <w:rsid w:val="00D524FD"/>
    <w:rsid w:val="00D52B60"/>
    <w:rsid w:val="00D537C9"/>
    <w:rsid w:val="00D60414"/>
    <w:rsid w:val="00D63DAD"/>
    <w:rsid w:val="00D64BF0"/>
    <w:rsid w:val="00D66A93"/>
    <w:rsid w:val="00D757D9"/>
    <w:rsid w:val="00D82A50"/>
    <w:rsid w:val="00D8428C"/>
    <w:rsid w:val="00D849B2"/>
    <w:rsid w:val="00D86725"/>
    <w:rsid w:val="00D93760"/>
    <w:rsid w:val="00DA0189"/>
    <w:rsid w:val="00DA1493"/>
    <w:rsid w:val="00DA5423"/>
    <w:rsid w:val="00DA5FFA"/>
    <w:rsid w:val="00DB1C87"/>
    <w:rsid w:val="00DB3C65"/>
    <w:rsid w:val="00DB6140"/>
    <w:rsid w:val="00DC3080"/>
    <w:rsid w:val="00DC45E2"/>
    <w:rsid w:val="00DC56CC"/>
    <w:rsid w:val="00DC5C37"/>
    <w:rsid w:val="00DC7ABC"/>
    <w:rsid w:val="00DC7BC9"/>
    <w:rsid w:val="00DC7C14"/>
    <w:rsid w:val="00DD1BB9"/>
    <w:rsid w:val="00DD2B54"/>
    <w:rsid w:val="00DD32EB"/>
    <w:rsid w:val="00DD43EA"/>
    <w:rsid w:val="00DD65A2"/>
    <w:rsid w:val="00DD7036"/>
    <w:rsid w:val="00DE370D"/>
    <w:rsid w:val="00DE51F1"/>
    <w:rsid w:val="00DE544D"/>
    <w:rsid w:val="00DF35AB"/>
    <w:rsid w:val="00DF7926"/>
    <w:rsid w:val="00E00059"/>
    <w:rsid w:val="00E0092D"/>
    <w:rsid w:val="00E01CDC"/>
    <w:rsid w:val="00E02C96"/>
    <w:rsid w:val="00E075EC"/>
    <w:rsid w:val="00E077C6"/>
    <w:rsid w:val="00E07E32"/>
    <w:rsid w:val="00E107CB"/>
    <w:rsid w:val="00E1083C"/>
    <w:rsid w:val="00E10ADC"/>
    <w:rsid w:val="00E13E64"/>
    <w:rsid w:val="00E1592F"/>
    <w:rsid w:val="00E16B8B"/>
    <w:rsid w:val="00E177BF"/>
    <w:rsid w:val="00E20C1F"/>
    <w:rsid w:val="00E22678"/>
    <w:rsid w:val="00E236F0"/>
    <w:rsid w:val="00E242F4"/>
    <w:rsid w:val="00E25072"/>
    <w:rsid w:val="00E258C6"/>
    <w:rsid w:val="00E26269"/>
    <w:rsid w:val="00E2765C"/>
    <w:rsid w:val="00E3211F"/>
    <w:rsid w:val="00E3407C"/>
    <w:rsid w:val="00E35EF4"/>
    <w:rsid w:val="00E37176"/>
    <w:rsid w:val="00E40B0A"/>
    <w:rsid w:val="00E41219"/>
    <w:rsid w:val="00E424AA"/>
    <w:rsid w:val="00E42BCA"/>
    <w:rsid w:val="00E44188"/>
    <w:rsid w:val="00E45D39"/>
    <w:rsid w:val="00E46687"/>
    <w:rsid w:val="00E46F02"/>
    <w:rsid w:val="00E5158E"/>
    <w:rsid w:val="00E51928"/>
    <w:rsid w:val="00E529D5"/>
    <w:rsid w:val="00E53A3A"/>
    <w:rsid w:val="00E60AA9"/>
    <w:rsid w:val="00E61454"/>
    <w:rsid w:val="00E61FF8"/>
    <w:rsid w:val="00E62D55"/>
    <w:rsid w:val="00E64A77"/>
    <w:rsid w:val="00E64D21"/>
    <w:rsid w:val="00E66073"/>
    <w:rsid w:val="00E664E8"/>
    <w:rsid w:val="00E70FBD"/>
    <w:rsid w:val="00E71850"/>
    <w:rsid w:val="00E732D8"/>
    <w:rsid w:val="00E74B4B"/>
    <w:rsid w:val="00E77EAC"/>
    <w:rsid w:val="00E811A0"/>
    <w:rsid w:val="00E82A17"/>
    <w:rsid w:val="00E832BB"/>
    <w:rsid w:val="00E8399D"/>
    <w:rsid w:val="00E847B2"/>
    <w:rsid w:val="00E85133"/>
    <w:rsid w:val="00E9008C"/>
    <w:rsid w:val="00E927F9"/>
    <w:rsid w:val="00E93FAB"/>
    <w:rsid w:val="00E94502"/>
    <w:rsid w:val="00E9454E"/>
    <w:rsid w:val="00E95D67"/>
    <w:rsid w:val="00EA2D95"/>
    <w:rsid w:val="00EA30BD"/>
    <w:rsid w:val="00EA542A"/>
    <w:rsid w:val="00EB20A0"/>
    <w:rsid w:val="00EB4417"/>
    <w:rsid w:val="00EB6397"/>
    <w:rsid w:val="00EB7FF7"/>
    <w:rsid w:val="00EC6E24"/>
    <w:rsid w:val="00ED0627"/>
    <w:rsid w:val="00ED6118"/>
    <w:rsid w:val="00ED64BA"/>
    <w:rsid w:val="00ED7CD8"/>
    <w:rsid w:val="00EE2216"/>
    <w:rsid w:val="00EE5345"/>
    <w:rsid w:val="00EE5B45"/>
    <w:rsid w:val="00EE68B8"/>
    <w:rsid w:val="00EE7A8D"/>
    <w:rsid w:val="00EF1196"/>
    <w:rsid w:val="00EF7983"/>
    <w:rsid w:val="00F02A23"/>
    <w:rsid w:val="00F02ABD"/>
    <w:rsid w:val="00F04460"/>
    <w:rsid w:val="00F04DE2"/>
    <w:rsid w:val="00F07BA1"/>
    <w:rsid w:val="00F10E0D"/>
    <w:rsid w:val="00F13A79"/>
    <w:rsid w:val="00F14F74"/>
    <w:rsid w:val="00F203B8"/>
    <w:rsid w:val="00F2043D"/>
    <w:rsid w:val="00F20E9C"/>
    <w:rsid w:val="00F20FFE"/>
    <w:rsid w:val="00F22BAD"/>
    <w:rsid w:val="00F231B3"/>
    <w:rsid w:val="00F23848"/>
    <w:rsid w:val="00F238A9"/>
    <w:rsid w:val="00F24FD6"/>
    <w:rsid w:val="00F25609"/>
    <w:rsid w:val="00F2664D"/>
    <w:rsid w:val="00F30712"/>
    <w:rsid w:val="00F3710E"/>
    <w:rsid w:val="00F37D37"/>
    <w:rsid w:val="00F44642"/>
    <w:rsid w:val="00F4465A"/>
    <w:rsid w:val="00F44A91"/>
    <w:rsid w:val="00F47401"/>
    <w:rsid w:val="00F531C6"/>
    <w:rsid w:val="00F552F6"/>
    <w:rsid w:val="00F55312"/>
    <w:rsid w:val="00F565C0"/>
    <w:rsid w:val="00F60BA5"/>
    <w:rsid w:val="00F6555D"/>
    <w:rsid w:val="00F666E1"/>
    <w:rsid w:val="00F66DB4"/>
    <w:rsid w:val="00F677EC"/>
    <w:rsid w:val="00F70555"/>
    <w:rsid w:val="00F74A6B"/>
    <w:rsid w:val="00F75AE7"/>
    <w:rsid w:val="00F75F43"/>
    <w:rsid w:val="00F77E4F"/>
    <w:rsid w:val="00F80A69"/>
    <w:rsid w:val="00F810CC"/>
    <w:rsid w:val="00F8280F"/>
    <w:rsid w:val="00F83165"/>
    <w:rsid w:val="00F838CE"/>
    <w:rsid w:val="00F84BDB"/>
    <w:rsid w:val="00F86DD6"/>
    <w:rsid w:val="00F90F3F"/>
    <w:rsid w:val="00F95A95"/>
    <w:rsid w:val="00F96592"/>
    <w:rsid w:val="00FA1452"/>
    <w:rsid w:val="00FA46B4"/>
    <w:rsid w:val="00FB0884"/>
    <w:rsid w:val="00FB1D9F"/>
    <w:rsid w:val="00FB3E47"/>
    <w:rsid w:val="00FB4128"/>
    <w:rsid w:val="00FB68C9"/>
    <w:rsid w:val="00FB7438"/>
    <w:rsid w:val="00FB74FF"/>
    <w:rsid w:val="00FC0E7D"/>
    <w:rsid w:val="00FC1B8A"/>
    <w:rsid w:val="00FC29A3"/>
    <w:rsid w:val="00FD09A0"/>
    <w:rsid w:val="00FD1DE4"/>
    <w:rsid w:val="00FD208C"/>
    <w:rsid w:val="00FD29C5"/>
    <w:rsid w:val="00FE14D9"/>
    <w:rsid w:val="00FE19A8"/>
    <w:rsid w:val="00FE33B8"/>
    <w:rsid w:val="00FE3BFD"/>
    <w:rsid w:val="00FE3D4D"/>
    <w:rsid w:val="00FE58E8"/>
    <w:rsid w:val="00FE668A"/>
    <w:rsid w:val="00FF0902"/>
    <w:rsid w:val="00FF0969"/>
    <w:rsid w:val="00FF15F1"/>
    <w:rsid w:val="00FF2098"/>
    <w:rsid w:val="00FF744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369946"/>
  <w15:docId w15:val="{69B44DD1-79A2-48E1-A0A8-4A29449FF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宋体"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060"/>
    <w:pPr>
      <w:spacing w:after="0" w:line="240" w:lineRule="auto"/>
    </w:pPr>
    <w:rPr>
      <w:rFonts w:ascii="Times New Roman" w:hAnsi="Times New Roman" w:cs="Times New Roman"/>
      <w:sz w:val="24"/>
      <w:szCs w:val="24"/>
      <w:lang w:val="en-US" w:eastAsia="zh-CN"/>
    </w:rPr>
  </w:style>
  <w:style w:type="paragraph" w:styleId="1">
    <w:name w:val="heading 1"/>
    <w:basedOn w:val="a"/>
    <w:next w:val="a"/>
    <w:link w:val="10"/>
    <w:qFormat/>
    <w:rsid w:val="00AA4A5D"/>
    <w:pPr>
      <w:keepNext/>
      <w:numPr>
        <w:numId w:val="1"/>
      </w:numPr>
      <w:spacing w:before="240" w:after="60"/>
      <w:outlineLvl w:val="0"/>
    </w:pPr>
    <w:rPr>
      <w:rFonts w:ascii="Arial" w:hAnsi="Arial" w:cs="Arial"/>
      <w:b/>
      <w:bCs/>
      <w:kern w:val="32"/>
      <w:sz w:val="32"/>
      <w:szCs w:val="32"/>
    </w:rPr>
  </w:style>
  <w:style w:type="paragraph" w:styleId="2">
    <w:name w:val="heading 2"/>
    <w:basedOn w:val="a"/>
    <w:next w:val="a"/>
    <w:link w:val="20"/>
    <w:qFormat/>
    <w:rsid w:val="00AA4A5D"/>
    <w:pPr>
      <w:keepNext/>
      <w:numPr>
        <w:ilvl w:val="1"/>
        <w:numId w:val="1"/>
      </w:numPr>
      <w:outlineLvl w:val="1"/>
    </w:pPr>
    <w:rPr>
      <w:rFonts w:ascii="Arial" w:eastAsia="MS Gothic"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A4A5D"/>
    <w:rPr>
      <w:rFonts w:ascii="Arial" w:hAnsi="Arial" w:cs="Arial"/>
      <w:b/>
      <w:bCs/>
      <w:kern w:val="32"/>
      <w:sz w:val="32"/>
      <w:szCs w:val="32"/>
      <w:lang w:val="en-US" w:eastAsia="zh-CN"/>
    </w:rPr>
  </w:style>
  <w:style w:type="character" w:customStyle="1" w:styleId="20">
    <w:name w:val="标题 2 字符"/>
    <w:basedOn w:val="a0"/>
    <w:link w:val="2"/>
    <w:rsid w:val="00AA4A5D"/>
    <w:rPr>
      <w:rFonts w:ascii="Arial" w:eastAsia="MS Gothic" w:hAnsi="Arial" w:cs="Times New Roman"/>
      <w:sz w:val="24"/>
      <w:szCs w:val="24"/>
      <w:lang w:val="en-US" w:eastAsia="zh-CN"/>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A4A5D"/>
    <w:pPr>
      <w:tabs>
        <w:tab w:val="center" w:pos="4320"/>
        <w:tab w:val="right" w:pos="8640"/>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AA4A5D"/>
    <w:rPr>
      <w:rFonts w:ascii="Times New Roman" w:eastAsia="宋体" w:hAnsi="Times New Roman" w:cs="Times New Roman"/>
      <w:sz w:val="24"/>
      <w:szCs w:val="24"/>
      <w:lang w:val="en-US" w:eastAsia="zh-CN"/>
    </w:rPr>
  </w:style>
  <w:style w:type="paragraph" w:styleId="a5">
    <w:name w:val="List Paragraph"/>
    <w:aliases w:val="- Bullets,목록 단락,リスト段落,Lista1,?? ??,?????,????"/>
    <w:basedOn w:val="a"/>
    <w:link w:val="a6"/>
    <w:uiPriority w:val="34"/>
    <w:qFormat/>
    <w:rsid w:val="00F83165"/>
    <w:pPr>
      <w:ind w:left="720"/>
    </w:pPr>
    <w:rPr>
      <w:rFonts w:ascii="Calibri" w:eastAsiaTheme="minorHAnsi" w:hAnsi="Calibri"/>
      <w:sz w:val="22"/>
      <w:szCs w:val="22"/>
      <w:lang w:val="en-AU" w:eastAsia="en-AU"/>
    </w:rPr>
  </w:style>
  <w:style w:type="paragraph" w:styleId="a7">
    <w:name w:val="Balloon Text"/>
    <w:basedOn w:val="a"/>
    <w:link w:val="a8"/>
    <w:uiPriority w:val="99"/>
    <w:semiHidden/>
    <w:unhideWhenUsed/>
    <w:rsid w:val="009E7779"/>
    <w:rPr>
      <w:rFonts w:ascii="Tahoma" w:hAnsi="Tahoma" w:cs="Tahoma"/>
      <w:sz w:val="16"/>
      <w:szCs w:val="16"/>
    </w:rPr>
  </w:style>
  <w:style w:type="character" w:customStyle="1" w:styleId="a8">
    <w:name w:val="批注框文本 字符"/>
    <w:basedOn w:val="a0"/>
    <w:link w:val="a7"/>
    <w:uiPriority w:val="99"/>
    <w:semiHidden/>
    <w:rsid w:val="009E7779"/>
    <w:rPr>
      <w:rFonts w:ascii="Tahoma" w:eastAsia="宋体" w:hAnsi="Tahoma" w:cs="Tahoma"/>
      <w:sz w:val="16"/>
      <w:szCs w:val="16"/>
      <w:lang w:val="en-US" w:eastAsia="zh-CN"/>
    </w:rPr>
  </w:style>
  <w:style w:type="character" w:styleId="a9">
    <w:name w:val="Hyperlink"/>
    <w:basedOn w:val="a0"/>
    <w:uiPriority w:val="99"/>
    <w:unhideWhenUsed/>
    <w:rsid w:val="00C63660"/>
    <w:rPr>
      <w:color w:val="0000FF" w:themeColor="hyperlink"/>
      <w:u w:val="single"/>
    </w:rPr>
  </w:style>
  <w:style w:type="character" w:styleId="aa">
    <w:name w:val="FollowedHyperlink"/>
    <w:basedOn w:val="a0"/>
    <w:uiPriority w:val="99"/>
    <w:semiHidden/>
    <w:unhideWhenUsed/>
    <w:rsid w:val="00C63660"/>
    <w:rPr>
      <w:color w:val="800080" w:themeColor="followedHyperlink"/>
      <w:u w:val="single"/>
    </w:rPr>
  </w:style>
  <w:style w:type="paragraph" w:styleId="ab">
    <w:name w:val="caption"/>
    <w:basedOn w:val="a"/>
    <w:next w:val="a"/>
    <w:uiPriority w:val="35"/>
    <w:unhideWhenUsed/>
    <w:qFormat/>
    <w:rsid w:val="00E424AA"/>
    <w:pPr>
      <w:spacing w:after="200"/>
    </w:pPr>
    <w:rPr>
      <w:b/>
      <w:bCs/>
      <w:color w:val="4F81BD" w:themeColor="accent1"/>
      <w:sz w:val="18"/>
      <w:szCs w:val="18"/>
    </w:rPr>
  </w:style>
  <w:style w:type="table" w:styleId="ac">
    <w:name w:val="Table Grid"/>
    <w:basedOn w:val="a1"/>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
    <w:link w:val="ae"/>
    <w:uiPriority w:val="99"/>
    <w:unhideWhenUsed/>
    <w:rsid w:val="00537E71"/>
    <w:pPr>
      <w:tabs>
        <w:tab w:val="center" w:pos="4513"/>
        <w:tab w:val="right" w:pos="9026"/>
      </w:tabs>
    </w:pPr>
  </w:style>
  <w:style w:type="character" w:customStyle="1" w:styleId="ae">
    <w:name w:val="页脚 字符"/>
    <w:basedOn w:val="a0"/>
    <w:link w:val="ad"/>
    <w:uiPriority w:val="99"/>
    <w:rsid w:val="00537E71"/>
    <w:rPr>
      <w:rFonts w:ascii="Times New Roman" w:eastAsia="宋体" w:hAnsi="Times New Roman" w:cs="Times New Roman"/>
      <w:sz w:val="24"/>
      <w:szCs w:val="24"/>
      <w:lang w:val="en-US" w:eastAsia="zh-CN"/>
    </w:rPr>
  </w:style>
  <w:style w:type="paragraph" w:customStyle="1" w:styleId="LGTdoc">
    <w:name w:val="LGTdoc_본문"/>
    <w:basedOn w:val="a"/>
    <w:link w:val="LGTdocChar"/>
    <w:rsid w:val="00F2384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styleId="af">
    <w:name w:val="annotation reference"/>
    <w:basedOn w:val="a0"/>
    <w:uiPriority w:val="99"/>
    <w:semiHidden/>
    <w:unhideWhenUsed/>
    <w:rsid w:val="003D010A"/>
    <w:rPr>
      <w:sz w:val="16"/>
      <w:szCs w:val="16"/>
    </w:rPr>
  </w:style>
  <w:style w:type="paragraph" w:styleId="af0">
    <w:name w:val="annotation text"/>
    <w:basedOn w:val="a"/>
    <w:link w:val="af1"/>
    <w:uiPriority w:val="99"/>
    <w:semiHidden/>
    <w:unhideWhenUsed/>
    <w:rsid w:val="003D010A"/>
    <w:rPr>
      <w:sz w:val="20"/>
      <w:szCs w:val="20"/>
    </w:rPr>
  </w:style>
  <w:style w:type="character" w:customStyle="1" w:styleId="af1">
    <w:name w:val="批注文字 字符"/>
    <w:basedOn w:val="a0"/>
    <w:link w:val="af0"/>
    <w:uiPriority w:val="99"/>
    <w:semiHidden/>
    <w:rsid w:val="003D010A"/>
    <w:rPr>
      <w:rFonts w:ascii="Times New Roman" w:eastAsia="宋体" w:hAnsi="Times New Roman" w:cs="Times New Roman"/>
      <w:sz w:val="20"/>
      <w:szCs w:val="20"/>
      <w:lang w:val="en-US" w:eastAsia="zh-CN"/>
    </w:rPr>
  </w:style>
  <w:style w:type="paragraph" w:styleId="af2">
    <w:name w:val="annotation subject"/>
    <w:basedOn w:val="af0"/>
    <w:next w:val="af0"/>
    <w:link w:val="af3"/>
    <w:uiPriority w:val="99"/>
    <w:semiHidden/>
    <w:unhideWhenUsed/>
    <w:rsid w:val="003D010A"/>
    <w:rPr>
      <w:b/>
      <w:bCs/>
    </w:rPr>
  </w:style>
  <w:style w:type="character" w:customStyle="1" w:styleId="af3">
    <w:name w:val="批注主题 字符"/>
    <w:basedOn w:val="af1"/>
    <w:link w:val="af2"/>
    <w:uiPriority w:val="99"/>
    <w:semiHidden/>
    <w:rsid w:val="003D010A"/>
    <w:rPr>
      <w:rFonts w:ascii="Times New Roman" w:eastAsia="宋体" w:hAnsi="Times New Roman" w:cs="Times New Roman"/>
      <w:b/>
      <w:bCs/>
      <w:sz w:val="20"/>
      <w:szCs w:val="20"/>
      <w:lang w:val="en-US" w:eastAsia="zh-CN"/>
    </w:rPr>
  </w:style>
  <w:style w:type="character" w:styleId="af4">
    <w:name w:val="Placeholder Text"/>
    <w:basedOn w:val="a0"/>
    <w:uiPriority w:val="99"/>
    <w:semiHidden/>
    <w:rsid w:val="00CC4273"/>
    <w:rPr>
      <w:color w:val="808080"/>
    </w:rPr>
  </w:style>
  <w:style w:type="paragraph" w:styleId="af5">
    <w:name w:val="Body Text"/>
    <w:aliases w:val="bt"/>
    <w:basedOn w:val="a"/>
    <w:link w:val="af6"/>
    <w:rsid w:val="00CB22EF"/>
    <w:pPr>
      <w:spacing w:after="120"/>
      <w:ind w:left="1440" w:hanging="1440"/>
      <w:jc w:val="both"/>
    </w:pPr>
    <w:rPr>
      <w:rFonts w:ascii="Times" w:eastAsia="Batang" w:hAnsi="Times"/>
      <w:sz w:val="20"/>
      <w:lang w:val="en-GB" w:eastAsia="en-US"/>
    </w:rPr>
  </w:style>
  <w:style w:type="character" w:customStyle="1" w:styleId="af6">
    <w:name w:val="正文文本 字符"/>
    <w:aliases w:val="bt 字符"/>
    <w:basedOn w:val="a0"/>
    <w:link w:val="af5"/>
    <w:rsid w:val="00CB22EF"/>
    <w:rPr>
      <w:rFonts w:ascii="Times" w:eastAsia="Batang" w:hAnsi="Times" w:cs="Times New Roman"/>
      <w:sz w:val="20"/>
      <w:szCs w:val="24"/>
      <w:lang w:val="en-GB"/>
    </w:rPr>
  </w:style>
  <w:style w:type="paragraph" w:customStyle="1" w:styleId="paratdoc">
    <w:name w:val="para tdoc"/>
    <w:basedOn w:val="a"/>
    <w:link w:val="paratdocChar"/>
    <w:qFormat/>
    <w:rsid w:val="00BF2826"/>
    <w:pPr>
      <w:spacing w:after="120"/>
      <w:jc w:val="both"/>
    </w:pPr>
    <w:rPr>
      <w:bCs/>
      <w:sz w:val="22"/>
      <w:szCs w:val="22"/>
      <w:lang w:val="en-AU" w:eastAsia="en-AU"/>
    </w:rPr>
  </w:style>
  <w:style w:type="character" w:customStyle="1" w:styleId="paratdocChar">
    <w:name w:val="para tdoc Char"/>
    <w:basedOn w:val="a0"/>
    <w:link w:val="paratdoc"/>
    <w:rsid w:val="00BF2826"/>
    <w:rPr>
      <w:rFonts w:ascii="Times New Roman" w:eastAsia="宋体" w:hAnsi="Times New Roman" w:cs="Times New Roman"/>
      <w:bCs/>
      <w:lang w:eastAsia="en-AU"/>
    </w:rPr>
  </w:style>
  <w:style w:type="paragraph" w:customStyle="1" w:styleId="tdocpara">
    <w:name w:val="tdoc para"/>
    <w:basedOn w:val="af5"/>
    <w:link w:val="tdocparaChar"/>
    <w:qFormat/>
    <w:rsid w:val="00EB4417"/>
    <w:pPr>
      <w:ind w:left="0" w:firstLine="0"/>
    </w:pPr>
    <w:rPr>
      <w:bCs/>
      <w:lang w:eastAsia="en-AU"/>
    </w:rPr>
  </w:style>
  <w:style w:type="character" w:customStyle="1" w:styleId="tdocparaChar">
    <w:name w:val="tdoc para Char"/>
    <w:basedOn w:val="af6"/>
    <w:link w:val="tdocpara"/>
    <w:rsid w:val="00EB4417"/>
    <w:rPr>
      <w:rFonts w:ascii="Times" w:eastAsia="Batang" w:hAnsi="Times" w:cs="Times New Roman"/>
      <w:bCs/>
      <w:sz w:val="20"/>
      <w:szCs w:val="24"/>
      <w:lang w:val="en-GB" w:eastAsia="en-AU"/>
    </w:rPr>
  </w:style>
  <w:style w:type="character" w:customStyle="1" w:styleId="Doc-text2Char">
    <w:name w:val="Doc-text2 Char"/>
    <w:link w:val="Doc-text2"/>
    <w:locked/>
    <w:rsid w:val="001B4D72"/>
    <w:rPr>
      <w:rFonts w:ascii="Arial" w:eastAsia="MS Mincho" w:hAnsi="Arial" w:cs="Arial"/>
      <w:szCs w:val="24"/>
      <w:lang w:val="en-GB" w:eastAsia="en-GB"/>
    </w:rPr>
  </w:style>
  <w:style w:type="paragraph" w:customStyle="1" w:styleId="Doc-text2">
    <w:name w:val="Doc-text2"/>
    <w:basedOn w:val="a"/>
    <w:link w:val="Doc-text2Char"/>
    <w:qFormat/>
    <w:rsid w:val="001B4D72"/>
    <w:pPr>
      <w:tabs>
        <w:tab w:val="left" w:pos="1622"/>
      </w:tabs>
      <w:ind w:left="1622" w:hanging="363"/>
    </w:pPr>
    <w:rPr>
      <w:rFonts w:ascii="Arial" w:eastAsia="MS Mincho" w:hAnsi="Arial" w:cs="Arial"/>
      <w:sz w:val="22"/>
      <w:lang w:val="en-GB" w:eastAsia="en-GB"/>
    </w:rPr>
  </w:style>
  <w:style w:type="character" w:customStyle="1" w:styleId="a6">
    <w:name w:val="列出段落 字符"/>
    <w:aliases w:val="- Bullets 字符,목록 단락 字符,リスト段落 字符,Lista1 字符,?? ?? 字符,????? 字符,???? 字符"/>
    <w:link w:val="a5"/>
    <w:uiPriority w:val="34"/>
    <w:qFormat/>
    <w:rsid w:val="006055AB"/>
    <w:rPr>
      <w:rFonts w:ascii="Calibri" w:eastAsiaTheme="minorHAnsi" w:hAnsi="Calibri" w:cs="Times New Roman"/>
      <w:lang w:eastAsia="en-AU"/>
    </w:rPr>
  </w:style>
  <w:style w:type="character" w:customStyle="1" w:styleId="LGTdocChar">
    <w:name w:val="LGTdoc_본문 Char"/>
    <w:link w:val="LGTdoc"/>
    <w:rsid w:val="00633EF5"/>
    <w:rPr>
      <w:rFonts w:ascii="Times New Roman" w:eastAsia="Batang" w:hAnsi="Times New Roman" w:cs="Times New Roman"/>
      <w:kern w:val="2"/>
      <w:szCs w:val="24"/>
      <w:lang w:val="en-GB" w:eastAsia="ko-KR"/>
    </w:rPr>
  </w:style>
  <w:style w:type="paragraph" w:customStyle="1" w:styleId="bullet1">
    <w:name w:val="bullet1"/>
    <w:basedOn w:val="a"/>
    <w:link w:val="bullet1Char"/>
    <w:qFormat/>
    <w:rsid w:val="004C0911"/>
    <w:pPr>
      <w:numPr>
        <w:numId w:val="12"/>
      </w:numPr>
    </w:pPr>
    <w:rPr>
      <w:rFonts w:ascii="Times" w:eastAsia="Batang" w:hAnsi="Times"/>
      <w:sz w:val="20"/>
      <w:lang w:val="en-GB" w:eastAsia="en-US"/>
    </w:rPr>
  </w:style>
  <w:style w:type="paragraph" w:customStyle="1" w:styleId="bullet2">
    <w:name w:val="bullet2"/>
    <w:basedOn w:val="a"/>
    <w:link w:val="bullet2Char"/>
    <w:qFormat/>
    <w:rsid w:val="004C0911"/>
    <w:pPr>
      <w:numPr>
        <w:ilvl w:val="1"/>
        <w:numId w:val="12"/>
      </w:numPr>
    </w:pPr>
    <w:rPr>
      <w:rFonts w:ascii="Times" w:eastAsia="Batang" w:hAnsi="Times"/>
      <w:sz w:val="20"/>
      <w:lang w:val="en-GB" w:eastAsia="en-US"/>
    </w:rPr>
  </w:style>
  <w:style w:type="character" w:customStyle="1" w:styleId="bullet1Char">
    <w:name w:val="bullet1 Char"/>
    <w:link w:val="bullet1"/>
    <w:rsid w:val="004C0911"/>
    <w:rPr>
      <w:rFonts w:ascii="Times" w:eastAsia="Batang" w:hAnsi="Times" w:cs="Times New Roman"/>
      <w:sz w:val="20"/>
      <w:szCs w:val="24"/>
      <w:lang w:val="en-GB"/>
    </w:rPr>
  </w:style>
  <w:style w:type="paragraph" w:customStyle="1" w:styleId="bullet3">
    <w:name w:val="bullet3"/>
    <w:basedOn w:val="a"/>
    <w:qFormat/>
    <w:rsid w:val="004C0911"/>
    <w:pPr>
      <w:numPr>
        <w:ilvl w:val="2"/>
        <w:numId w:val="12"/>
      </w:numPr>
      <w:ind w:hanging="180"/>
    </w:pPr>
    <w:rPr>
      <w:rFonts w:ascii="Times" w:eastAsia="Batang" w:hAnsi="Times"/>
      <w:sz w:val="20"/>
      <w:lang w:val="en-GB" w:eastAsia="en-US"/>
    </w:rPr>
  </w:style>
  <w:style w:type="paragraph" w:customStyle="1" w:styleId="bullet4">
    <w:name w:val="bullet4"/>
    <w:basedOn w:val="a"/>
    <w:qFormat/>
    <w:rsid w:val="004C0911"/>
    <w:pPr>
      <w:numPr>
        <w:ilvl w:val="3"/>
        <w:numId w:val="12"/>
      </w:numPr>
    </w:pPr>
    <w:rPr>
      <w:rFonts w:ascii="Times" w:eastAsia="Batang" w:hAnsi="Times"/>
      <w:sz w:val="20"/>
      <w:lang w:val="en-GB" w:eastAsia="en-US"/>
    </w:rPr>
  </w:style>
  <w:style w:type="character" w:customStyle="1" w:styleId="bullet2Char">
    <w:name w:val="bullet2 Char"/>
    <w:link w:val="bullet2"/>
    <w:rsid w:val="004C0911"/>
    <w:rPr>
      <w:rFonts w:ascii="Times" w:eastAsia="Batang" w:hAnsi="Times" w:cs="Times New Roman"/>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49947">
      <w:bodyDiv w:val="1"/>
      <w:marLeft w:val="0"/>
      <w:marRight w:val="0"/>
      <w:marTop w:val="0"/>
      <w:marBottom w:val="0"/>
      <w:divBdr>
        <w:top w:val="none" w:sz="0" w:space="0" w:color="auto"/>
        <w:left w:val="none" w:sz="0" w:space="0" w:color="auto"/>
        <w:bottom w:val="none" w:sz="0" w:space="0" w:color="auto"/>
        <w:right w:val="none" w:sz="0" w:space="0" w:color="auto"/>
      </w:divBdr>
    </w:div>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9401A-C7DE-42C5-9987-EF996F18E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Pages>
  <Words>1852</Words>
  <Characters>10557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12385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zhang_shichang@nec.cn</dc:creator>
  <cp:keywords/>
  <dc:description/>
  <cp:lastModifiedBy>NEC</cp:lastModifiedBy>
  <cp:revision>15</cp:revision>
  <cp:lastPrinted>2016-09-16T03:38:00Z</cp:lastPrinted>
  <dcterms:created xsi:type="dcterms:W3CDTF">2019-01-11T05:21:00Z</dcterms:created>
  <dcterms:modified xsi:type="dcterms:W3CDTF">2019-01-11T05:40:00Z</dcterms:modified>
</cp:coreProperties>
</file>